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BDF3F" w14:textId="40579EF2" w:rsidR="001F6ECD" w:rsidRPr="0038769E" w:rsidRDefault="001F6ECD" w:rsidP="001F6ECD">
      <w:pPr>
        <w:widowControl w:val="0"/>
        <w:spacing w:line="276" w:lineRule="auto"/>
        <w:rPr>
          <w:rFonts w:asciiTheme="majorHAnsi" w:hAnsiTheme="majorHAnsi"/>
          <w:noProof/>
        </w:rPr>
      </w:pPr>
      <w:r w:rsidRPr="00697749">
        <w:rPr>
          <w:rFonts w:asciiTheme="majorHAnsi" w:hAnsiTheme="majorHAnsi"/>
          <w:noProof/>
        </w:rPr>
        <w:t xml:space="preserve">Příloha č. </w:t>
      </w:r>
      <w:r w:rsidR="00102F48" w:rsidRPr="00697749">
        <w:rPr>
          <w:rFonts w:asciiTheme="majorHAnsi" w:hAnsiTheme="majorHAnsi"/>
          <w:noProof/>
        </w:rPr>
        <w:t xml:space="preserve">4 </w:t>
      </w:r>
      <w:r w:rsidRPr="00697749">
        <w:rPr>
          <w:rFonts w:asciiTheme="majorHAnsi" w:hAnsiTheme="majorHAnsi"/>
          <w:noProof/>
        </w:rPr>
        <w:t xml:space="preserve">Výzvy k podání nabídky </w:t>
      </w:r>
    </w:p>
    <w:p w14:paraId="46FEF5BF" w14:textId="1E070E9A" w:rsidR="009D1BA2" w:rsidRPr="004F0BC3" w:rsidRDefault="00A90199" w:rsidP="001F6ECD">
      <w:pPr>
        <w:pStyle w:val="Nadpis1"/>
        <w:spacing w:before="0" w:line="276" w:lineRule="auto"/>
        <w:rPr>
          <w:noProof/>
        </w:rPr>
      </w:pPr>
      <w:r w:rsidRPr="004F0BC3">
        <w:rPr>
          <w:noProof/>
        </w:rPr>
        <w:t>S</w:t>
      </w:r>
      <w:r w:rsidR="001F6ECD">
        <w:rPr>
          <w:noProof/>
        </w:rPr>
        <w:t>mlouva o poskytování služeb podpory hardware</w:t>
      </w:r>
    </w:p>
    <w:p w14:paraId="295D96DA" w14:textId="74CD79D1" w:rsidR="002C64D7" w:rsidRPr="004F0BC3" w:rsidRDefault="002C64D7" w:rsidP="00C57A96">
      <w:pPr>
        <w:pStyle w:val="Nadpis4"/>
        <w:numPr>
          <w:ilvl w:val="0"/>
          <w:numId w:val="0"/>
        </w:numPr>
      </w:pPr>
      <w:bookmarkStart w:id="0" w:name="_Hlk28282906"/>
      <w:r w:rsidRPr="004F0BC3">
        <w:t xml:space="preserve">č. </w:t>
      </w:r>
      <w:r w:rsidR="005A4B42" w:rsidRPr="004F0BC3">
        <w:t>Objednatele</w:t>
      </w:r>
      <w:r w:rsidRPr="004F0BC3">
        <w:t xml:space="preserve">: </w:t>
      </w:r>
      <w:r w:rsidRPr="004F0BC3">
        <w:rPr>
          <w:highlight w:val="yellow"/>
        </w:rPr>
        <w:t>…………………..</w:t>
      </w:r>
    </w:p>
    <w:p w14:paraId="0670FB3F" w14:textId="42927F6A" w:rsidR="002C64D7" w:rsidRPr="004F0BC3" w:rsidRDefault="002C64D7" w:rsidP="00C57A96">
      <w:pPr>
        <w:pStyle w:val="Nadpis4"/>
        <w:numPr>
          <w:ilvl w:val="0"/>
          <w:numId w:val="0"/>
        </w:numPr>
      </w:pPr>
      <w:r w:rsidRPr="004F0BC3">
        <w:t>č. P</w:t>
      </w:r>
      <w:r w:rsidR="005A4B42" w:rsidRPr="004F0BC3">
        <w:t>oskytovatele</w:t>
      </w:r>
      <w:r w:rsidRPr="004F0BC3">
        <w:t xml:space="preserve">: </w:t>
      </w:r>
      <w:r w:rsidRPr="004F0BC3">
        <w:rPr>
          <w:highlight w:val="green"/>
        </w:rPr>
        <w:t>………………….……</w:t>
      </w:r>
    </w:p>
    <w:bookmarkEnd w:id="0"/>
    <w:p w14:paraId="4AB4C386" w14:textId="77777777" w:rsidR="00697749" w:rsidRDefault="00697749" w:rsidP="00494DCC">
      <w:pPr>
        <w:spacing w:after="120" w:line="276" w:lineRule="auto"/>
        <w:jc w:val="both"/>
        <w:rPr>
          <w:rFonts w:asciiTheme="majorHAnsi" w:hAnsiTheme="majorHAnsi"/>
          <w:noProof/>
        </w:rPr>
      </w:pPr>
    </w:p>
    <w:p w14:paraId="314B762E" w14:textId="5842006A" w:rsidR="009D1BA2" w:rsidRPr="004F0BC3" w:rsidRDefault="009D1BA2" w:rsidP="00494DCC">
      <w:pPr>
        <w:spacing w:after="120" w:line="276" w:lineRule="auto"/>
        <w:jc w:val="both"/>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„občanský zákoník“) </w:t>
      </w:r>
    </w:p>
    <w:p w14:paraId="370185FF" w14:textId="77777777" w:rsidR="009D1BA2" w:rsidRPr="004F0BC3" w:rsidRDefault="009D1BA2" w:rsidP="00F34B3C">
      <w:pPr>
        <w:spacing w:line="276" w:lineRule="auto"/>
        <w:rPr>
          <w:rFonts w:asciiTheme="majorHAnsi" w:hAnsiTheme="majorHAnsi"/>
          <w:noProof/>
        </w:rPr>
      </w:pPr>
      <w:r w:rsidRPr="004F0BC3">
        <w:rPr>
          <w:rFonts w:asciiTheme="majorHAnsi" w:hAnsiTheme="majorHAnsi"/>
          <w:noProof/>
        </w:rPr>
        <w:t>(dále jen „</w:t>
      </w:r>
      <w:r w:rsidR="002B0B85" w:rsidRPr="004F0BC3">
        <w:rPr>
          <w:rFonts w:asciiTheme="majorHAnsi" w:hAnsiTheme="majorHAnsi"/>
          <w:b/>
          <w:bCs/>
          <w:noProof/>
        </w:rPr>
        <w:t>Smlouva</w:t>
      </w:r>
      <w:r w:rsidRPr="004F0BC3">
        <w:rPr>
          <w:rFonts w:asciiTheme="majorHAnsi" w:hAnsiTheme="majorHAnsi"/>
          <w:noProof/>
        </w:rPr>
        <w:t>“)</w:t>
      </w:r>
    </w:p>
    <w:p w14:paraId="66C26FEF"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4C4D16EA" w14:textId="77777777" w:rsidR="001F6ECD" w:rsidRDefault="001F6ECD" w:rsidP="001F6ECD">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4474E8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4159E81"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5C6E9440" w14:textId="03B3FC39"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B14359">
        <w:rPr>
          <w:rFonts w:eastAsia="Times New Roman" w:cs="Times New Roman"/>
          <w:lang w:eastAsia="cs-CZ"/>
        </w:rPr>
        <w:t xml:space="preserve">zastoupená </w:t>
      </w:r>
      <w:r w:rsidR="00F12368" w:rsidRPr="005D2BBF">
        <w:rPr>
          <w:rFonts w:eastAsia="Times New Roman" w:cs="Times New Roman"/>
          <w:b/>
          <w:lang w:eastAsia="cs-CZ"/>
        </w:rPr>
        <w:t>Ing. Alešem Krejčím</w:t>
      </w:r>
      <w:r w:rsidR="00F12368" w:rsidRPr="00B14359">
        <w:rPr>
          <w:rFonts w:eastAsia="Times New Roman" w:cs="Times New Roman"/>
          <w:lang w:eastAsia="cs-CZ"/>
        </w:rPr>
        <w:t>, náměstkem</w:t>
      </w:r>
      <w:r w:rsidR="00F12368">
        <w:rPr>
          <w:rFonts w:eastAsia="Times New Roman" w:cs="Times New Roman"/>
          <w:lang w:eastAsia="cs-CZ"/>
        </w:rPr>
        <w:t xml:space="preserve"> GŘ pro ekonomiku</w:t>
      </w:r>
    </w:p>
    <w:p w14:paraId="193A4FD7"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7514E1E5"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3D2B1596"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38E7FE06" w14:textId="77777777" w:rsidR="001F6ECD" w:rsidRDefault="001F6ECD" w:rsidP="001F6ECD">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3709008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6F66E8E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A02C5C8"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roofErr w:type="gramStart"/>
      <w:r>
        <w:rPr>
          <w:rFonts w:eastAsia="Times New Roman" w:cs="Times New Roman"/>
          <w:highlight w:val="green"/>
          <w:lang w:eastAsia="cs-CZ"/>
        </w:rPr>
        <w:t>…..</w:t>
      </w:r>
      <w:proofErr w:type="gramEnd"/>
    </w:p>
    <w:p w14:paraId="376A62E6"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roofErr w:type="gramStart"/>
      <w:r>
        <w:rPr>
          <w:rFonts w:eastAsia="Times New Roman" w:cs="Times New Roman"/>
          <w:highlight w:val="green"/>
          <w:lang w:eastAsia="cs-CZ"/>
        </w:rPr>
        <w:t>…..</w:t>
      </w:r>
      <w:proofErr w:type="gramEnd"/>
    </w:p>
    <w:p w14:paraId="0760D1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285F1F77" w14:textId="77777777" w:rsidR="001F6ECD" w:rsidRDefault="001F6ECD" w:rsidP="001F6ECD">
      <w:pPr>
        <w:widowControl w:val="0"/>
        <w:spacing w:line="276" w:lineRule="auto"/>
        <w:rPr>
          <w:rFonts w:asciiTheme="majorHAnsi" w:hAnsiTheme="majorHAnsi"/>
          <w:noProof/>
        </w:rPr>
      </w:pPr>
    </w:p>
    <w:p w14:paraId="6446E375" w14:textId="2CE80D3D" w:rsidR="001F6ECD" w:rsidRDefault="001F6ECD" w:rsidP="001F6ECD">
      <w:pPr>
        <w:widowControl w:val="0"/>
        <w:spacing w:line="276" w:lineRule="auto"/>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0E90E76F" w14:textId="207B280F" w:rsidR="001F6ECD" w:rsidRDefault="001F6ECD" w:rsidP="001F6ECD">
      <w:pPr>
        <w:widowControl w:val="0"/>
        <w:rPr>
          <w:rFonts w:asciiTheme="majorHAnsi" w:hAnsiTheme="majorHAnsi"/>
          <w:noProof/>
        </w:rPr>
      </w:pPr>
      <w:r>
        <w:rPr>
          <w:lang w:eastAsia="cs-CZ"/>
        </w:rPr>
        <w:t xml:space="preserve">Tato smlouva je uzavřena na základě výsledků zadávacího řízení veřejné zakázky s názvem „ </w:t>
      </w:r>
      <w:r w:rsidR="00B14359" w:rsidRPr="00BB6414">
        <w:rPr>
          <w:lang w:eastAsia="cs-CZ"/>
        </w:rPr>
        <w:t xml:space="preserve">Podpora monitorovacího nástroje </w:t>
      </w:r>
      <w:proofErr w:type="spellStart"/>
      <w:r w:rsidR="00B14359" w:rsidRPr="00BB6414">
        <w:rPr>
          <w:lang w:eastAsia="cs-CZ"/>
        </w:rPr>
        <w:t>eSight</w:t>
      </w:r>
      <w:proofErr w:type="spellEnd"/>
      <w:r w:rsidR="00B14359" w:rsidRPr="00BB6414">
        <w:rPr>
          <w:lang w:eastAsia="cs-CZ"/>
        </w:rPr>
        <w:t xml:space="preserve"> </w:t>
      </w:r>
      <w:r w:rsidR="00B14359" w:rsidRPr="006B2D1C">
        <w:rPr>
          <w:lang w:eastAsia="cs-CZ"/>
        </w:rPr>
        <w:t xml:space="preserve">“, </w:t>
      </w:r>
      <w:r w:rsidRPr="006B2D1C">
        <w:rPr>
          <w:rFonts w:eastAsia="Times New Roman" w:cs="Times New Roman"/>
          <w:lang w:eastAsia="cs-CZ"/>
        </w:rPr>
        <w:t>č.</w:t>
      </w:r>
      <w:r w:rsidR="006B2D1C">
        <w:rPr>
          <w:rFonts w:eastAsia="Times New Roman" w:cs="Times New Roman"/>
          <w:lang w:eastAsia="cs-CZ"/>
        </w:rPr>
        <w:t xml:space="preserve"> </w:t>
      </w:r>
      <w:r w:rsidRPr="006B2D1C">
        <w:rPr>
          <w:rFonts w:eastAsia="Times New Roman" w:cs="Times New Roman"/>
          <w:lang w:eastAsia="cs-CZ"/>
        </w:rPr>
        <w:t xml:space="preserve">j. </w:t>
      </w:r>
      <w:r w:rsidR="006B2D1C" w:rsidRPr="006B2D1C">
        <w:rPr>
          <w:rFonts w:eastAsia="Times New Roman" w:cs="Times New Roman"/>
          <w:lang w:eastAsia="cs-CZ"/>
        </w:rPr>
        <w:t>29667/2020-SŽ-GŘ-O8</w:t>
      </w:r>
      <w:r w:rsidRPr="006B2D1C">
        <w:rPr>
          <w:rFonts w:eastAsia="Times New Roman" w:cs="Times New Roman"/>
          <w:lang w:eastAsia="cs-CZ"/>
        </w:rPr>
        <w:t xml:space="preserve"> </w:t>
      </w:r>
      <w:r w:rsidRPr="006B2D1C">
        <w:rPr>
          <w:lang w:eastAsia="cs-CZ"/>
        </w:rPr>
        <w:t>(</w:t>
      </w:r>
      <w:r>
        <w:rPr>
          <w:lang w:eastAsia="cs-CZ"/>
        </w:rPr>
        <w:t>dále jen „veřejná zakázka“). Jednotlivá ustanovení této Smlouvy tak budou vykládána v souladu se zadávacími podmínkami veřejné zakázky.</w:t>
      </w:r>
      <w:bookmarkEnd w:id="1"/>
    </w:p>
    <w:p w14:paraId="1DC2239F" w14:textId="5506AA4B" w:rsidR="000A1BD4" w:rsidRDefault="00A90199" w:rsidP="00C57A96">
      <w:pPr>
        <w:pStyle w:val="Nadpis4"/>
      </w:pPr>
      <w:r w:rsidRPr="004F0BC3">
        <w:t xml:space="preserve">Předmět </w:t>
      </w:r>
      <w:r w:rsidR="00BD076E" w:rsidRPr="004F0BC3">
        <w:t>S</w:t>
      </w:r>
      <w:r w:rsidRPr="004F0BC3">
        <w:t>mlouvy</w:t>
      </w:r>
      <w:bookmarkStart w:id="2" w:name="_Hlk28283056"/>
    </w:p>
    <w:p w14:paraId="38209552" w14:textId="23282CAE" w:rsidR="000E4032" w:rsidRPr="000E4032" w:rsidRDefault="00697749" w:rsidP="000E4032">
      <w:pPr>
        <w:ind w:left="360"/>
        <w:rPr>
          <w:noProof/>
        </w:rPr>
      </w:pPr>
      <w:r>
        <w:rPr>
          <w:noProof/>
        </w:rPr>
        <w:t>1.</w:t>
      </w:r>
      <w:r w:rsidR="005937EA">
        <w:rPr>
          <w:noProof/>
        </w:rPr>
        <w:t xml:space="preserve">1 </w:t>
      </w:r>
      <w:r>
        <w:rPr>
          <w:noProof/>
        </w:rPr>
        <w:t xml:space="preserve"> </w:t>
      </w:r>
      <w:r w:rsidR="000E4032" w:rsidRPr="000E4032">
        <w:rPr>
          <w:noProof/>
        </w:rPr>
        <w:t>Předmětem  plnění této Smlouvy je:</w:t>
      </w:r>
    </w:p>
    <w:p w14:paraId="648F423D" w14:textId="48E7A01F" w:rsidR="000E4032" w:rsidRPr="000E4032" w:rsidRDefault="000E4032" w:rsidP="00431A74">
      <w:pPr>
        <w:pStyle w:val="Odstavecseseznamem"/>
        <w:numPr>
          <w:ilvl w:val="0"/>
          <w:numId w:val="7"/>
        </w:numPr>
        <w:rPr>
          <w:noProof/>
        </w:rPr>
      </w:pPr>
      <w:r w:rsidRPr="000E4032">
        <w:rPr>
          <w:noProof/>
        </w:rPr>
        <w:t>pořízení podpory monitorovacího nástroje eSight na období 2 roky</w:t>
      </w:r>
    </w:p>
    <w:p w14:paraId="25C670F1" w14:textId="2939AEFF" w:rsidR="000E4032" w:rsidRPr="000E4032" w:rsidRDefault="000E4032" w:rsidP="00431A74">
      <w:pPr>
        <w:pStyle w:val="Odstavecseseznamem"/>
        <w:numPr>
          <w:ilvl w:val="0"/>
          <w:numId w:val="7"/>
        </w:numPr>
        <w:rPr>
          <w:noProof/>
        </w:rPr>
      </w:pPr>
      <w:r w:rsidRPr="000E4032">
        <w:rPr>
          <w:noProof/>
        </w:rPr>
        <w:t>poskytování nadstandardních servisních služeb pro produkty Huawei technologies na období 2 let</w:t>
      </w:r>
    </w:p>
    <w:p w14:paraId="78F6A58B" w14:textId="555B988B" w:rsidR="000E4032" w:rsidRPr="000E4032" w:rsidRDefault="000E4032" w:rsidP="00431A74">
      <w:pPr>
        <w:pStyle w:val="Odstavecseseznamem"/>
        <w:numPr>
          <w:ilvl w:val="0"/>
          <w:numId w:val="7"/>
        </w:numPr>
        <w:rPr>
          <w:noProof/>
        </w:rPr>
      </w:pPr>
      <w:r w:rsidRPr="000E4032">
        <w:rPr>
          <w:noProof/>
        </w:rPr>
        <w:t>dodávka serverů pro Netflow Collector (sběr kolekcí)</w:t>
      </w:r>
    </w:p>
    <w:p w14:paraId="24FB3CE3" w14:textId="35F802A9" w:rsidR="000E4032" w:rsidRPr="000E4032" w:rsidRDefault="000E4032" w:rsidP="00431A74">
      <w:pPr>
        <w:pStyle w:val="Odstavecseseznamem"/>
        <w:numPr>
          <w:ilvl w:val="0"/>
          <w:numId w:val="7"/>
        </w:numPr>
        <w:rPr>
          <w:noProof/>
        </w:rPr>
      </w:pPr>
      <w:r w:rsidRPr="000E4032">
        <w:rPr>
          <w:noProof/>
        </w:rPr>
        <w:t>rozšíření stávajícího SAP HANA prostředí</w:t>
      </w:r>
    </w:p>
    <w:p w14:paraId="3E5418BC" w14:textId="3ED78A38" w:rsidR="00C53FC0" w:rsidRDefault="00DD477F" w:rsidP="00697749">
      <w:pPr>
        <w:ind w:left="360"/>
        <w:rPr>
          <w:rFonts w:asciiTheme="majorHAnsi" w:hAnsiTheme="majorHAnsi"/>
          <w:noProof/>
        </w:rPr>
      </w:pPr>
      <w:r w:rsidRPr="00697749">
        <w:rPr>
          <w:noProof/>
        </w:rPr>
        <w:t xml:space="preserve"> </w:t>
      </w:r>
      <w:bookmarkEnd w:id="2"/>
      <w:r w:rsidR="001576EC" w:rsidRPr="00697749">
        <w:rPr>
          <w:rFonts w:asciiTheme="majorHAnsi" w:hAnsiTheme="majorHAnsi"/>
          <w:noProof/>
        </w:rPr>
        <w:t>(</w:t>
      </w:r>
      <w:r w:rsidR="001576EC" w:rsidRPr="004F0BC3">
        <w:rPr>
          <w:rFonts w:asciiTheme="majorHAnsi" w:hAnsiTheme="majorHAnsi"/>
          <w:noProof/>
        </w:rPr>
        <w:t>„</w:t>
      </w:r>
      <w:r w:rsidR="001576EC" w:rsidRPr="004F0BC3">
        <w:rPr>
          <w:rFonts w:asciiTheme="majorHAnsi" w:hAnsiTheme="majorHAnsi"/>
          <w:b/>
          <w:bCs/>
          <w:noProof/>
        </w:rPr>
        <w:t>Plnění</w:t>
      </w:r>
      <w:r w:rsidR="005937EA">
        <w:rPr>
          <w:rFonts w:asciiTheme="majorHAnsi" w:hAnsiTheme="majorHAnsi"/>
          <w:noProof/>
        </w:rPr>
        <w:t>“)</w:t>
      </w:r>
    </w:p>
    <w:p w14:paraId="256D3F92" w14:textId="7DF6417C" w:rsidR="00A9300D" w:rsidRPr="001F6ECD" w:rsidRDefault="000E4032" w:rsidP="000E4032">
      <w:pPr>
        <w:ind w:left="568"/>
      </w:pPr>
      <w:r>
        <w:lastRenderedPageBreak/>
        <w:t xml:space="preserve">1.2. </w:t>
      </w:r>
      <w:r w:rsidR="00C53FC0" w:rsidRPr="004F0BC3">
        <w:t>Objednatel je povinen platit za řádně a včas provedené Plnění dohodnutou Cenu.</w:t>
      </w:r>
    </w:p>
    <w:p w14:paraId="093E64C5" w14:textId="56C38656" w:rsidR="00286C82" w:rsidRPr="00B80D37" w:rsidRDefault="00286C82" w:rsidP="00C57A96">
      <w:pPr>
        <w:pStyle w:val="Nadpis4"/>
      </w:pPr>
      <w:r w:rsidRPr="00B80D37">
        <w:t>Převzetí poskytování plnění</w:t>
      </w:r>
    </w:p>
    <w:p w14:paraId="39AC9FDA" w14:textId="57F60501" w:rsidR="00286C82" w:rsidRPr="00B80D37" w:rsidRDefault="00286C82" w:rsidP="00431A74">
      <w:pPr>
        <w:pStyle w:val="Odstavecseseznamem"/>
        <w:rPr>
          <w:noProof/>
        </w:rPr>
      </w:pPr>
      <w:r w:rsidRPr="00B80D37">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r w:rsidRPr="00B80D37">
        <w:rPr>
          <w:noProof/>
        </w:rPr>
        <w:t>.</w:t>
      </w:r>
    </w:p>
    <w:p w14:paraId="13AF3C12" w14:textId="1CF24592" w:rsidR="00286C82" w:rsidRPr="00B80D37" w:rsidRDefault="00286C82" w:rsidP="00431A74">
      <w:pPr>
        <w:pStyle w:val="Odstavecseseznamem"/>
        <w:rPr>
          <w:noProof/>
          <w:u w:val="single"/>
        </w:rPr>
      </w:pPr>
      <w:r w:rsidRPr="00B80D37">
        <w:t>Účelem Převzetí poskytování plnění je předání znalostí Poskytovateli a praktické seznámení se Poskytovatelem s podmínkami provádění Plnění.</w:t>
      </w:r>
    </w:p>
    <w:p w14:paraId="128BF013" w14:textId="77777777" w:rsidR="005937EA" w:rsidRDefault="00286C82" w:rsidP="00431A74">
      <w:pPr>
        <w:pStyle w:val="Odstavecseseznamem"/>
        <w:rPr>
          <w:noProof/>
        </w:rPr>
      </w:pPr>
      <w:r w:rsidRPr="00B80D37">
        <w:t>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w:t>
      </w:r>
      <w:r w:rsidR="005937EA">
        <w:rPr>
          <w:noProof/>
        </w:rPr>
        <w:t>.</w:t>
      </w:r>
    </w:p>
    <w:p w14:paraId="40D55438" w14:textId="074C4285" w:rsidR="005937EA" w:rsidRDefault="00BD076E" w:rsidP="00C57A96">
      <w:pPr>
        <w:pStyle w:val="Nadpis4"/>
      </w:pPr>
      <w:r w:rsidRPr="004F0BC3">
        <w:t>Doba a místo plnění</w:t>
      </w:r>
    </w:p>
    <w:p w14:paraId="7AB9C0CA" w14:textId="0933A1C1" w:rsidR="00A037C2" w:rsidRDefault="005937EA" w:rsidP="005937EA">
      <w:pPr>
        <w:ind w:left="284"/>
        <w:rPr>
          <w:noProof/>
        </w:rPr>
      </w:pPr>
      <w:bookmarkStart w:id="3" w:name="_Ref515806915"/>
      <w:proofErr w:type="gramStart"/>
      <w:r>
        <w:t xml:space="preserve">3.1  </w:t>
      </w:r>
      <w:r w:rsidR="00BD076E" w:rsidRPr="004F0BC3">
        <w:t>Provádění</w:t>
      </w:r>
      <w:proofErr w:type="gramEnd"/>
      <w:r w:rsidR="00BD076E" w:rsidRPr="004F0BC3">
        <w:t xml:space="preserve"> </w:t>
      </w:r>
      <w:r w:rsidR="00BD076E" w:rsidRPr="00BB6414">
        <w:t>Plnění bude zahájeno ode dne nabytí účinnosti této Smlouvy</w:t>
      </w:r>
      <w:bookmarkEnd w:id="3"/>
      <w:r w:rsidR="004459DB" w:rsidRPr="00BB6414">
        <w:t>:</w:t>
      </w:r>
    </w:p>
    <w:p w14:paraId="6C833D2B" w14:textId="029E05B3" w:rsidR="00697749" w:rsidRDefault="00071C6D" w:rsidP="00431A74">
      <w:pPr>
        <w:pStyle w:val="Odstavecseseznamem"/>
        <w:numPr>
          <w:ilvl w:val="0"/>
          <w:numId w:val="8"/>
        </w:numPr>
        <w:rPr>
          <w:noProof/>
        </w:rPr>
      </w:pPr>
      <w:r>
        <w:rPr>
          <w:noProof/>
        </w:rPr>
        <w:t>p</w:t>
      </w:r>
      <w:r w:rsidRPr="00071C6D">
        <w:rPr>
          <w:noProof/>
        </w:rPr>
        <w:t>ořízení podpory monitorovacího nástroje eSight do 30 dnů od</w:t>
      </w:r>
      <w:r>
        <w:rPr>
          <w:noProof/>
        </w:rPr>
        <w:t xml:space="preserve"> </w:t>
      </w:r>
      <w:r w:rsidR="00697749">
        <w:rPr>
          <w:noProof/>
        </w:rPr>
        <w:t>účinnosti Smlouvy o poskytování služeb podpory HW</w:t>
      </w:r>
    </w:p>
    <w:p w14:paraId="01CE7E94" w14:textId="1932D040" w:rsidR="00697749" w:rsidRDefault="00697749" w:rsidP="00431A74">
      <w:pPr>
        <w:pStyle w:val="Odstavecseseznamem"/>
        <w:numPr>
          <w:ilvl w:val="0"/>
          <w:numId w:val="8"/>
        </w:numPr>
        <w:rPr>
          <w:noProof/>
        </w:rPr>
      </w:pPr>
      <w:r>
        <w:rPr>
          <w:noProof/>
        </w:rPr>
        <w:t xml:space="preserve">měsíční poskytování nadstandardních servisních služeb od účinnosti </w:t>
      </w:r>
      <w:r w:rsidR="00996369">
        <w:rPr>
          <w:noProof/>
        </w:rPr>
        <w:t>S</w:t>
      </w:r>
      <w:r>
        <w:rPr>
          <w:noProof/>
        </w:rPr>
        <w:t>mlouvy o poskytování služeb podpory HW po dobu 24 měsíců</w:t>
      </w:r>
    </w:p>
    <w:p w14:paraId="69DAB33A" w14:textId="77777777" w:rsidR="00697749" w:rsidRDefault="00697749" w:rsidP="00431A74">
      <w:pPr>
        <w:pStyle w:val="Odstavecseseznamem"/>
        <w:numPr>
          <w:ilvl w:val="0"/>
          <w:numId w:val="8"/>
        </w:numPr>
        <w:rPr>
          <w:noProof/>
        </w:rPr>
      </w:pPr>
      <w:r>
        <w:rPr>
          <w:noProof/>
        </w:rPr>
        <w:t xml:space="preserve">dodávka serverů pro Netflow Collector (sběr kolekcí) do 60 dnů od účinnosti Smlouvy o poskytování služeb podpory HW </w:t>
      </w:r>
    </w:p>
    <w:p w14:paraId="4BEA5777" w14:textId="046CF831" w:rsidR="00697749" w:rsidRDefault="00697749" w:rsidP="00431A74">
      <w:pPr>
        <w:pStyle w:val="Odstavecseseznamem"/>
        <w:numPr>
          <w:ilvl w:val="0"/>
          <w:numId w:val="8"/>
        </w:numPr>
        <w:rPr>
          <w:noProof/>
        </w:rPr>
      </w:pPr>
      <w:r>
        <w:rPr>
          <w:noProof/>
        </w:rPr>
        <w:t xml:space="preserve">rozšíření stávajícího SAP HANA prostředí </w:t>
      </w:r>
      <w:r w:rsidR="00071C6D" w:rsidRPr="00071C6D">
        <w:rPr>
          <w:noProof/>
        </w:rPr>
        <w:t>do 60 dnů od účinnosti Smlouvy o poskytování služeb podpory HW</w:t>
      </w:r>
    </w:p>
    <w:p w14:paraId="60F6EC08" w14:textId="71241127" w:rsidR="00595F71" w:rsidRPr="004F0BC3" w:rsidRDefault="005937EA" w:rsidP="005937EA">
      <w:pPr>
        <w:ind w:left="142" w:firstLine="142"/>
        <w:rPr>
          <w:noProof/>
        </w:rPr>
      </w:pPr>
      <w:r>
        <w:t>3.2</w:t>
      </w:r>
      <w:r>
        <w:tab/>
      </w:r>
      <w:r w:rsidR="00BD076E" w:rsidRPr="004F0BC3">
        <w:t xml:space="preserve">Tato Smlouva je uzavřena na </w:t>
      </w:r>
      <w:r w:rsidR="00BD076E" w:rsidRPr="004459DB">
        <w:t xml:space="preserve">dobu </w:t>
      </w:r>
      <w:r w:rsidR="004459DB" w:rsidRPr="004459DB">
        <w:t>24 měsíců</w:t>
      </w:r>
      <w:r w:rsidR="00BD076E" w:rsidRPr="004459DB">
        <w:t xml:space="preserve"> ode</w:t>
      </w:r>
      <w:r w:rsidR="00BD076E" w:rsidRPr="004F0BC3">
        <w:t xml:space="preserve"> dne zahájení provádění Plnění</w:t>
      </w:r>
      <w:r w:rsidR="00A9300D" w:rsidRPr="004F0BC3">
        <w:t>.</w:t>
      </w:r>
    </w:p>
    <w:p w14:paraId="7441AB6E" w14:textId="1750E135" w:rsidR="00BC65AE" w:rsidRDefault="005937EA" w:rsidP="003A24AE">
      <w:pPr>
        <w:spacing w:after="0"/>
        <w:ind w:left="766" w:hanging="482"/>
      </w:pPr>
      <w:proofErr w:type="gramStart"/>
      <w:r>
        <w:t xml:space="preserve">3.3  </w:t>
      </w:r>
      <w:r w:rsidR="00BD076E" w:rsidRPr="004F0BC3">
        <w:t>Místem</w:t>
      </w:r>
      <w:proofErr w:type="gramEnd"/>
      <w:r w:rsidR="00BD076E" w:rsidRPr="004F0BC3">
        <w:t xml:space="preserve"> plnění této Smlouvy je</w:t>
      </w:r>
      <w:r w:rsidR="00BC65AE">
        <w:t xml:space="preserve">:                                                                </w:t>
      </w:r>
      <w:r w:rsidR="00BD076E" w:rsidRPr="004F0BC3">
        <w:t xml:space="preserve"> </w:t>
      </w:r>
      <w:r w:rsidR="00BC65AE">
        <w:t xml:space="preserve">      </w:t>
      </w:r>
      <w:r>
        <w:t xml:space="preserve">  </w:t>
      </w:r>
      <w:r w:rsidR="00BC65AE">
        <w:t>GŘ S</w:t>
      </w:r>
      <w:r w:rsidR="006A1C83">
        <w:t>právy železnic</w:t>
      </w:r>
      <w:r w:rsidR="00BC65AE">
        <w:t xml:space="preserve">, státní organizace, Dlážděná 1003/7, 110 00 Praha 1 – Nové Město a </w:t>
      </w:r>
    </w:p>
    <w:p w14:paraId="2ED2C0BB" w14:textId="6A94D50E" w:rsidR="00A9300D" w:rsidRPr="004F0BC3" w:rsidRDefault="00BC65AE" w:rsidP="00BC65AE">
      <w:pPr>
        <w:ind w:left="284"/>
      </w:pPr>
      <w:r>
        <w:t xml:space="preserve">        CTD Plzeň, Škroupova 1017/11, 301 00 Plzeň.</w:t>
      </w:r>
      <w:r w:rsidR="00BD076E" w:rsidRPr="004F0BC3">
        <w:t xml:space="preserve"> </w:t>
      </w:r>
    </w:p>
    <w:p w14:paraId="3420C103" w14:textId="71E7D88A" w:rsidR="00A9300D" w:rsidRPr="00622119" w:rsidRDefault="00A9300D" w:rsidP="00C57A96">
      <w:pPr>
        <w:pStyle w:val="Nadpis4"/>
      </w:pPr>
      <w:r w:rsidRPr="004F0BC3">
        <w:t>Kontaktní osoby</w:t>
      </w:r>
    </w:p>
    <w:p w14:paraId="67995180" w14:textId="1A4592CA" w:rsidR="00A9300D" w:rsidRPr="004F0BC3" w:rsidRDefault="00A9300D" w:rsidP="00431A74">
      <w:pPr>
        <w:pStyle w:val="Odstavecseseznamem"/>
      </w:pPr>
      <w:r w:rsidRPr="004F0BC3">
        <w:t xml:space="preserve">Kontaktními osobami za účelem plnění této Smlouvy jsou za </w:t>
      </w:r>
      <w:r w:rsidR="00FD6B24" w:rsidRPr="004F0BC3">
        <w:t>Poskytovatele</w:t>
      </w:r>
      <w:r w:rsidRPr="004F0BC3">
        <w:t xml:space="preserve"> </w:t>
      </w:r>
      <w:r w:rsidRPr="004F0BC3">
        <w:rPr>
          <w:noProof/>
        </w:rPr>
        <w:t>[</w:t>
      </w:r>
      <w:r w:rsidRPr="004F0BC3">
        <w:rPr>
          <w:i/>
          <w:iCs/>
          <w:noProof/>
          <w:highlight w:val="green"/>
        </w:rPr>
        <w:t>DOPLNÍ POSKYTOVATEL</w:t>
      </w:r>
      <w:r w:rsidR="000871AC" w:rsidRPr="006964C8">
        <w:rPr>
          <w:i/>
          <w:iCs/>
          <w:noProof/>
          <w:highlight w:val="green"/>
        </w:rPr>
        <w:t>: titul, jméno, příjmení, telefon a e-mail</w:t>
      </w:r>
      <w:r w:rsidRPr="004F0BC3">
        <w:rPr>
          <w:noProof/>
        </w:rPr>
        <w:t>].</w:t>
      </w:r>
    </w:p>
    <w:p w14:paraId="7FD88B4A" w14:textId="2CF971CC" w:rsidR="00A9300D" w:rsidRPr="004F0BC3" w:rsidRDefault="00A9300D" w:rsidP="00431A74">
      <w:pPr>
        <w:pStyle w:val="Odstavecseseznamem"/>
      </w:pPr>
      <w:r w:rsidRPr="004F0BC3">
        <w:t xml:space="preserve">Kontaktními osobami za účelem plnění této Smlouvy jsou za </w:t>
      </w:r>
      <w:r w:rsidR="00FD6B24" w:rsidRPr="004F0BC3">
        <w:t>Objednatele</w:t>
      </w:r>
      <w:r w:rsidRPr="004F0BC3">
        <w:t xml:space="preserv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p>
    <w:p w14:paraId="7AEA1B38" w14:textId="119D9F6A" w:rsidR="00A9300D" w:rsidRPr="004F0BC3" w:rsidRDefault="00A9300D" w:rsidP="00431A74">
      <w:pPr>
        <w:pStyle w:val="Odstavecseseznamem"/>
      </w:pPr>
      <w:r w:rsidRPr="004F0BC3">
        <w:t xml:space="preserve">Kontaktní osobou </w:t>
      </w:r>
      <w:r w:rsidR="00FD6B24" w:rsidRPr="004F0BC3">
        <w:t>Objednatele</w:t>
      </w:r>
      <w:r w:rsidRPr="004F0BC3">
        <w:t xml:space="preserve"> pro oblast kybernetické bezpečnosti je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r w:rsidRPr="004F0BC3">
        <w:rPr>
          <w:noProof/>
        </w:rPr>
        <w:t>.</w:t>
      </w:r>
    </w:p>
    <w:p w14:paraId="19FF04E2" w14:textId="56C932AB" w:rsidR="00A9300D" w:rsidRPr="00622119" w:rsidRDefault="00A9300D" w:rsidP="00C57A96">
      <w:pPr>
        <w:pStyle w:val="Nadpis4"/>
      </w:pPr>
      <w:r w:rsidRPr="004F0BC3">
        <w:t>Cena a platební podmínky</w:t>
      </w:r>
    </w:p>
    <w:p w14:paraId="676B1E14" w14:textId="50D7D0DB" w:rsidR="00A9300D" w:rsidRDefault="00A9300D" w:rsidP="00431A74">
      <w:pPr>
        <w:pStyle w:val="Odstavecseseznamem"/>
      </w:pPr>
      <w:r w:rsidRPr="004F0BC3">
        <w:t xml:space="preserve">Cena za </w:t>
      </w:r>
      <w:r w:rsidR="00FD6B24" w:rsidRPr="004F0BC3">
        <w:t>P</w:t>
      </w:r>
      <w:r w:rsidRPr="004F0BC3">
        <w:t xml:space="preserve">ředmět </w:t>
      </w:r>
      <w:r w:rsidR="00FD6B24" w:rsidRPr="004F0BC3">
        <w:t>P</w:t>
      </w:r>
      <w:r w:rsidRPr="004F0BC3">
        <w:t>lnění dle této Smlouvy je sjednána v souladu s nabídkovou cenou, kterou P</w:t>
      </w:r>
      <w:r w:rsidR="00FD6B24" w:rsidRPr="004F0BC3">
        <w:t xml:space="preserve">oskytovatel </w:t>
      </w:r>
      <w:r w:rsidRPr="004F0BC3">
        <w:t>uvedl ve své nabídce v zadávacím řízení Veřejné zakázky.</w:t>
      </w:r>
    </w:p>
    <w:p w14:paraId="21EB8A80" w14:textId="77777777" w:rsidR="00B0592B" w:rsidRPr="004F0BC3" w:rsidRDefault="00B0592B" w:rsidP="00C57A96">
      <w:pPr>
        <w:pStyle w:val="Nadpis4"/>
        <w:numPr>
          <w:ilvl w:val="0"/>
          <w:numId w:val="0"/>
        </w:numPr>
        <w:ind w:left="284"/>
      </w:pPr>
    </w:p>
    <w:p w14:paraId="136DDD27" w14:textId="06C00783" w:rsidR="00A9300D" w:rsidRDefault="00FB4569" w:rsidP="00431A74">
      <w:pPr>
        <w:pStyle w:val="Odstavecseseznamem"/>
      </w:pPr>
      <w:r w:rsidRPr="00FF1E47">
        <w:t xml:space="preserve">Objednatel je povinen zaplatit </w:t>
      </w:r>
      <w:r>
        <w:t>Poskytovateli</w:t>
      </w:r>
      <w:r w:rsidRPr="00FF1E47">
        <w:t xml:space="preserve"> </w:t>
      </w:r>
      <w:r w:rsidR="00C642E7" w:rsidRPr="00FF1E47">
        <w:t xml:space="preserve">za </w:t>
      </w:r>
      <w:r w:rsidR="00C642E7" w:rsidRPr="00D15273">
        <w:rPr>
          <w:b/>
        </w:rPr>
        <w:t>celý předmět plnění</w:t>
      </w:r>
      <w:r w:rsidR="00C642E7">
        <w:t xml:space="preserve"> </w:t>
      </w:r>
      <w:r>
        <w:t xml:space="preserve">cenu </w:t>
      </w:r>
      <w:r w:rsidRPr="00FF1E47">
        <w:t>ve výši</w:t>
      </w:r>
      <w:r w:rsidR="00BB6414">
        <w:t xml:space="preserve">:                         </w:t>
      </w:r>
      <w:r w:rsidRPr="00FF1E47">
        <w:t xml:space="preserve"> </w:t>
      </w:r>
      <w:r w:rsidR="00BC65AE">
        <w:t xml:space="preserve">               </w:t>
      </w:r>
    </w:p>
    <w:p w14:paraId="2189E566" w14:textId="11530BDB" w:rsidR="00B01419" w:rsidRDefault="00B80D37" w:rsidP="00B80D37">
      <w:pPr>
        <w:spacing w:after="0"/>
        <w:ind w:left="568"/>
      </w:pPr>
      <w:r>
        <w:t xml:space="preserve">             </w:t>
      </w:r>
      <w:r w:rsidR="00B01419">
        <w:t>Ce</w:t>
      </w:r>
      <w:r w:rsidR="002A7A4F">
        <w:t xml:space="preserve">na celkem bez DPH </w:t>
      </w:r>
      <w:r w:rsidR="002A7A4F">
        <w:tab/>
      </w:r>
      <w:r w:rsidR="002A7A4F">
        <w:tab/>
        <w:t xml:space="preserve"> </w:t>
      </w:r>
      <w:r w:rsidR="002A7A4F" w:rsidRPr="00D15273">
        <w:rPr>
          <w:b/>
        </w:rPr>
        <w:t>………………. Kč</w:t>
      </w:r>
      <w:r w:rsidR="00B01419">
        <w:t xml:space="preserve"> </w:t>
      </w:r>
    </w:p>
    <w:p w14:paraId="4232455C" w14:textId="2C035626" w:rsidR="00B01419" w:rsidRPr="00D15273" w:rsidRDefault="00B80D37" w:rsidP="002A7A4F">
      <w:pPr>
        <w:spacing w:after="0"/>
        <w:ind w:left="1145" w:firstLine="142"/>
        <w:rPr>
          <w:b/>
        </w:rPr>
      </w:pPr>
      <w:r>
        <w:t xml:space="preserve">  </w:t>
      </w:r>
      <w:r w:rsidR="002A7A4F">
        <w:t xml:space="preserve">Výše DPH 21%     </w:t>
      </w:r>
      <w:r w:rsidR="002A7A4F">
        <w:tab/>
      </w:r>
      <w:r w:rsidR="002A7A4F">
        <w:tab/>
        <w:t xml:space="preserve"> </w:t>
      </w:r>
      <w:r w:rsidR="002A7A4F" w:rsidRPr="00D15273">
        <w:rPr>
          <w:b/>
        </w:rPr>
        <w:t>………………. Kč</w:t>
      </w:r>
    </w:p>
    <w:p w14:paraId="1D9BAE75" w14:textId="170CBCE9" w:rsidR="00B01419" w:rsidRPr="00D15273" w:rsidRDefault="00B80D37" w:rsidP="00B01419">
      <w:pPr>
        <w:ind w:left="1008" w:firstLine="280"/>
        <w:rPr>
          <w:b/>
        </w:rPr>
      </w:pPr>
      <w:r>
        <w:t xml:space="preserve">  </w:t>
      </w:r>
      <w:r w:rsidR="00B01419">
        <w:t>Cena</w:t>
      </w:r>
      <w:r w:rsidR="002A7A4F">
        <w:t xml:space="preserve"> celkem včetně DPH </w:t>
      </w:r>
      <w:r w:rsidR="002A7A4F">
        <w:tab/>
        <w:t xml:space="preserve"> </w:t>
      </w:r>
      <w:r w:rsidR="002A7A4F" w:rsidRPr="00D15273">
        <w:rPr>
          <w:b/>
        </w:rPr>
        <w:t>………………. Kč</w:t>
      </w:r>
    </w:p>
    <w:p w14:paraId="788079FE" w14:textId="2F106CCA" w:rsidR="00B01419" w:rsidRDefault="00D15273" w:rsidP="00D15273">
      <w:pPr>
        <w:pStyle w:val="Odstavecseseznamem"/>
        <w:numPr>
          <w:ilvl w:val="2"/>
          <w:numId w:val="14"/>
        </w:numPr>
      </w:pPr>
      <w:r>
        <w:t xml:space="preserve"> </w:t>
      </w:r>
      <w:r w:rsidR="00B01419">
        <w:t xml:space="preserve">Cena za podporu </w:t>
      </w:r>
      <w:proofErr w:type="spellStart"/>
      <w:r w:rsidR="00B01419">
        <w:t>eSight</w:t>
      </w:r>
      <w:proofErr w:type="spellEnd"/>
    </w:p>
    <w:p w14:paraId="73D50E04" w14:textId="61D0C52F" w:rsidR="00B01419" w:rsidRDefault="00B01419" w:rsidP="002A7A4F">
      <w:pPr>
        <w:spacing w:after="0"/>
        <w:ind w:left="284"/>
      </w:pPr>
      <w:r>
        <w:t xml:space="preserve">               </w:t>
      </w:r>
      <w:r w:rsidR="00B80D37">
        <w:t xml:space="preserve">  </w:t>
      </w:r>
      <w:r>
        <w:t xml:space="preserve"> Cena celkem bez DPH</w:t>
      </w:r>
      <w:r>
        <w:tab/>
      </w:r>
      <w:r>
        <w:tab/>
        <w:t>………………. Kč</w:t>
      </w:r>
    </w:p>
    <w:p w14:paraId="4F879C53" w14:textId="08788B7A" w:rsidR="00B01419" w:rsidRDefault="00B80D37" w:rsidP="00B80D37">
      <w:pPr>
        <w:spacing w:after="0"/>
        <w:ind w:left="992" w:firstLine="284"/>
      </w:pPr>
      <w:r>
        <w:t xml:space="preserve">   </w:t>
      </w:r>
      <w:r w:rsidR="00B01419">
        <w:t>Výše DPH 21%</w:t>
      </w:r>
      <w:r w:rsidR="00B01419">
        <w:tab/>
      </w:r>
      <w:r w:rsidR="00B01419">
        <w:tab/>
      </w:r>
      <w:r w:rsidR="00B01419">
        <w:tab/>
        <w:t>………………. Kč</w:t>
      </w:r>
    </w:p>
    <w:p w14:paraId="2084F325" w14:textId="138B81EB" w:rsidR="00B01419" w:rsidRDefault="00B80D37" w:rsidP="00B80D37">
      <w:pPr>
        <w:ind w:left="992" w:firstLine="284"/>
      </w:pPr>
      <w:r>
        <w:t xml:space="preserve">   </w:t>
      </w:r>
      <w:r w:rsidR="00B01419">
        <w:t>Cena celkem včetně DPH</w:t>
      </w:r>
      <w:r w:rsidR="00B01419">
        <w:tab/>
        <w:t>………………. Kč</w:t>
      </w:r>
    </w:p>
    <w:p w14:paraId="2770A7DD" w14:textId="5C5E6E3B" w:rsidR="00B01419" w:rsidRDefault="00D15273" w:rsidP="00D15273">
      <w:pPr>
        <w:pStyle w:val="Odstavecseseznamem"/>
        <w:numPr>
          <w:ilvl w:val="2"/>
          <w:numId w:val="14"/>
        </w:numPr>
        <w:ind w:left="1276"/>
      </w:pPr>
      <w:r>
        <w:t xml:space="preserve"> </w:t>
      </w:r>
      <w:r w:rsidR="00B01419">
        <w:t xml:space="preserve">Cena za nadstandardní servisní služby pro technologie </w:t>
      </w:r>
      <w:proofErr w:type="spellStart"/>
      <w:r w:rsidR="00B01419">
        <w:t>Huawei</w:t>
      </w:r>
      <w:proofErr w:type="spellEnd"/>
      <w:r w:rsidR="00B01419">
        <w:t xml:space="preserve"> za dobu </w:t>
      </w:r>
      <w:r>
        <w:br/>
      </w:r>
      <w:r w:rsidR="00B01419">
        <w:t>24 měsíců</w:t>
      </w:r>
    </w:p>
    <w:p w14:paraId="27E47F76" w14:textId="3E2C4CB0" w:rsidR="00B01419" w:rsidRDefault="00B80D37" w:rsidP="002A7A4F">
      <w:pPr>
        <w:spacing w:after="0"/>
        <w:ind w:left="862" w:firstLine="425"/>
      </w:pPr>
      <w:r>
        <w:t xml:space="preserve">  </w:t>
      </w:r>
      <w:r w:rsidR="00B01419">
        <w:t>Cena bez DPH</w:t>
      </w:r>
      <w:r w:rsidR="00B01419">
        <w:tab/>
      </w:r>
      <w:r w:rsidR="00B01419">
        <w:tab/>
      </w:r>
      <w:r w:rsidR="00B01419">
        <w:tab/>
        <w:t>………………. Kč</w:t>
      </w:r>
    </w:p>
    <w:p w14:paraId="03FA91DC" w14:textId="551C6A71" w:rsidR="00B01419" w:rsidRDefault="00B01419" w:rsidP="00B80D37">
      <w:pPr>
        <w:tabs>
          <w:tab w:val="left" w:pos="284"/>
          <w:tab w:val="left" w:pos="851"/>
          <w:tab w:val="left" w:pos="1276"/>
        </w:tabs>
        <w:spacing w:after="0"/>
        <w:ind w:left="284"/>
      </w:pPr>
      <w:r>
        <w:tab/>
      </w:r>
      <w:r>
        <w:tab/>
      </w:r>
      <w:r w:rsidR="00B80D37">
        <w:t xml:space="preserve">  </w:t>
      </w:r>
      <w:r>
        <w:t>Výše DPH 21%</w:t>
      </w:r>
      <w:r>
        <w:tab/>
      </w:r>
      <w:r>
        <w:tab/>
      </w:r>
      <w:r>
        <w:tab/>
        <w:t>………………. Kč</w:t>
      </w:r>
    </w:p>
    <w:p w14:paraId="3CE4686D" w14:textId="4ADE818A" w:rsidR="00B01419" w:rsidRDefault="00B01419" w:rsidP="00B80D37">
      <w:pPr>
        <w:tabs>
          <w:tab w:val="left" w:pos="1134"/>
          <w:tab w:val="left" w:pos="1276"/>
        </w:tabs>
        <w:ind w:left="284"/>
      </w:pPr>
      <w:r>
        <w:tab/>
      </w:r>
      <w:r w:rsidR="00B80D37">
        <w:t xml:space="preserve">   </w:t>
      </w:r>
      <w:r>
        <w:tab/>
        <w:t>Cena včetně DPH</w:t>
      </w:r>
      <w:r>
        <w:tab/>
      </w:r>
      <w:r>
        <w:tab/>
        <w:t>……………….</w:t>
      </w:r>
      <w:r w:rsidR="002A7A4F">
        <w:t xml:space="preserve"> Kč</w:t>
      </w:r>
    </w:p>
    <w:p w14:paraId="25D9C410" w14:textId="0E670161" w:rsidR="00B80D37" w:rsidRDefault="000D132C" w:rsidP="00D15273">
      <w:pPr>
        <w:pStyle w:val="Odstavecseseznamem"/>
        <w:numPr>
          <w:ilvl w:val="2"/>
          <w:numId w:val="14"/>
        </w:numPr>
      </w:pPr>
      <w:r>
        <w:t xml:space="preserve"> </w:t>
      </w:r>
      <w:r w:rsidR="00B80D37">
        <w:t>Cena celkem za servery pro sběr kolekcí</w:t>
      </w:r>
    </w:p>
    <w:p w14:paraId="2E435FF2" w14:textId="77777777" w:rsidR="00B80D37" w:rsidRDefault="00B80D37" w:rsidP="00B80D37">
      <w:pPr>
        <w:spacing w:after="0"/>
        <w:ind w:left="862" w:firstLine="425"/>
      </w:pPr>
      <w:r>
        <w:t xml:space="preserve">  Cena bez DPH</w:t>
      </w:r>
      <w:r>
        <w:tab/>
      </w:r>
      <w:r>
        <w:tab/>
      </w:r>
      <w:r>
        <w:tab/>
        <w:t>………………. Kč</w:t>
      </w:r>
    </w:p>
    <w:p w14:paraId="69C4A15A" w14:textId="71D1032C" w:rsidR="00B80D37" w:rsidRDefault="00B80D37" w:rsidP="00D15273">
      <w:pPr>
        <w:spacing w:after="0"/>
        <w:ind w:left="1418"/>
      </w:pPr>
      <w:r>
        <w:t>Výše DPH 21%</w:t>
      </w:r>
      <w:r>
        <w:tab/>
      </w:r>
      <w:r>
        <w:tab/>
      </w:r>
      <w:r>
        <w:tab/>
        <w:t>………………. Kč</w:t>
      </w:r>
    </w:p>
    <w:p w14:paraId="376EDCC0" w14:textId="77777777" w:rsidR="00B80D37" w:rsidRDefault="00B80D37" w:rsidP="00B80D37">
      <w:pPr>
        <w:tabs>
          <w:tab w:val="left" w:pos="1134"/>
          <w:tab w:val="left" w:pos="1276"/>
        </w:tabs>
        <w:ind w:left="284"/>
      </w:pPr>
      <w:r>
        <w:tab/>
        <w:t xml:space="preserve">   </w:t>
      </w:r>
      <w:r>
        <w:tab/>
        <w:t>Cena včetně DPH</w:t>
      </w:r>
      <w:r>
        <w:tab/>
      </w:r>
      <w:r>
        <w:tab/>
        <w:t>………………. Kč</w:t>
      </w:r>
    </w:p>
    <w:p w14:paraId="4179A1D0" w14:textId="3278E1BD" w:rsidR="00B0592B" w:rsidRDefault="000D132C" w:rsidP="00D15273">
      <w:pPr>
        <w:pStyle w:val="Odstavecseseznamem"/>
        <w:numPr>
          <w:ilvl w:val="2"/>
          <w:numId w:val="14"/>
        </w:numPr>
      </w:pPr>
      <w:r>
        <w:t xml:space="preserve"> </w:t>
      </w:r>
      <w:r w:rsidR="00B0592B">
        <w:t xml:space="preserve">Cena celkem za rozšíření SAP HANA </w:t>
      </w:r>
      <w:r w:rsidR="00071C6D">
        <w:t>prostředí</w:t>
      </w:r>
    </w:p>
    <w:p w14:paraId="72419009" w14:textId="77777777" w:rsidR="00B0592B" w:rsidRDefault="00B0592B" w:rsidP="00B0592B">
      <w:pPr>
        <w:spacing w:after="0"/>
        <w:ind w:left="862" w:firstLine="425"/>
      </w:pPr>
      <w:r>
        <w:t xml:space="preserve">  Cena bez DPH</w:t>
      </w:r>
      <w:r>
        <w:tab/>
      </w:r>
      <w:r>
        <w:tab/>
      </w:r>
      <w:r>
        <w:tab/>
        <w:t>………………. Kč</w:t>
      </w:r>
    </w:p>
    <w:p w14:paraId="583FA38D" w14:textId="77777777" w:rsidR="00B0592B" w:rsidRDefault="00B0592B" w:rsidP="00B0592B">
      <w:pPr>
        <w:tabs>
          <w:tab w:val="left" w:pos="284"/>
          <w:tab w:val="left" w:pos="851"/>
          <w:tab w:val="left" w:pos="1276"/>
        </w:tabs>
        <w:spacing w:after="0"/>
        <w:ind w:left="284"/>
      </w:pPr>
      <w:r>
        <w:tab/>
      </w:r>
      <w:r>
        <w:tab/>
        <w:t xml:space="preserve">  Výše DPH 21%</w:t>
      </w:r>
      <w:r>
        <w:tab/>
      </w:r>
      <w:r>
        <w:tab/>
      </w:r>
      <w:r>
        <w:tab/>
        <w:t>………………. Kč</w:t>
      </w:r>
    </w:p>
    <w:p w14:paraId="1C7242D9" w14:textId="77777777" w:rsidR="00B0592B" w:rsidRDefault="00B0592B" w:rsidP="00B0592B">
      <w:pPr>
        <w:tabs>
          <w:tab w:val="left" w:pos="1134"/>
          <w:tab w:val="left" w:pos="1276"/>
        </w:tabs>
        <w:ind w:left="284"/>
      </w:pPr>
      <w:r>
        <w:tab/>
        <w:t xml:space="preserve">   </w:t>
      </w:r>
      <w:r>
        <w:tab/>
        <w:t>Cena včetně DPH</w:t>
      </w:r>
      <w:r>
        <w:tab/>
      </w:r>
      <w:r>
        <w:tab/>
        <w:t>………………. Kč</w:t>
      </w:r>
    </w:p>
    <w:p w14:paraId="7A85F887" w14:textId="23BBB815" w:rsidR="00B01419" w:rsidRPr="00B01419" w:rsidRDefault="00B01419" w:rsidP="00431A74">
      <w:pPr>
        <w:pStyle w:val="Odstavecseseznamem"/>
      </w:pPr>
      <w:r w:rsidRPr="00B01419">
        <w:t>Výše DPH může být uplatněna v rozdílné výši, než je uvedeno v závislosti na platných právních předpisech ke dni zdanitelného plnění, v takovém případě není zapotřebí uzavírat dodatek k této Smlouvě.</w:t>
      </w:r>
    </w:p>
    <w:p w14:paraId="78C9EC9E" w14:textId="37C81CE1" w:rsidR="00A9300D" w:rsidRPr="00D15273" w:rsidRDefault="00A9300D" w:rsidP="00431A74">
      <w:pPr>
        <w:pStyle w:val="Odstavecseseznamem"/>
      </w:pPr>
      <w:r w:rsidRPr="004F0BC3">
        <w:t xml:space="preserve">Podrobný rozpis Ceny dle jednotlivých částí Plnění je uveden </w:t>
      </w:r>
      <w:r w:rsidRPr="00071C6D">
        <w:t xml:space="preserve">v Příloze </w:t>
      </w:r>
      <w:proofErr w:type="gramStart"/>
      <w:r w:rsidRPr="00071C6D">
        <w:t>č.</w:t>
      </w:r>
      <w:r w:rsidR="00071C6D">
        <w:t xml:space="preserve"> </w:t>
      </w:r>
      <w:r w:rsidR="00C1402E" w:rsidRPr="00071C6D">
        <w:t>2</w:t>
      </w:r>
      <w:r w:rsidR="00FD7F1B">
        <w:t xml:space="preserve"> </w:t>
      </w:r>
      <w:r w:rsidRPr="00D15273">
        <w:rPr>
          <w:iCs/>
        </w:rPr>
        <w:t>Cena</w:t>
      </w:r>
      <w:proofErr w:type="gramEnd"/>
      <w:r w:rsidRPr="00D15273">
        <w:rPr>
          <w:iCs/>
        </w:rPr>
        <w:t xml:space="preserve"> Plnění.</w:t>
      </w:r>
    </w:p>
    <w:p w14:paraId="7587663A" w14:textId="77777777" w:rsidR="00A9300D" w:rsidRPr="004F0BC3" w:rsidRDefault="00A9300D" w:rsidP="00431A74">
      <w:pPr>
        <w:pStyle w:val="Odstavecseseznamem"/>
      </w:pPr>
      <w:bookmarkStart w:id="4" w:name="_Hlk27391226"/>
      <w:r w:rsidRPr="004F0BC3">
        <w:t>Cena je výslovně sjednávána jako nejvyšší možná a nepřekročitelná.</w:t>
      </w:r>
    </w:p>
    <w:p w14:paraId="749FBE47" w14:textId="2C82825C" w:rsidR="00C642E7" w:rsidRPr="00C642E7" w:rsidRDefault="00C642E7" w:rsidP="00431A74">
      <w:pPr>
        <w:pStyle w:val="Odstavecseseznamem"/>
      </w:pPr>
      <w:r w:rsidRPr="00C642E7">
        <w:t xml:space="preserve">Právo na zaplacení ceny </w:t>
      </w:r>
      <w:r>
        <w:t xml:space="preserve">za podporu </w:t>
      </w:r>
      <w:proofErr w:type="spellStart"/>
      <w:r>
        <w:t>eSight</w:t>
      </w:r>
      <w:proofErr w:type="spellEnd"/>
      <w:r>
        <w:t xml:space="preserve"> </w:t>
      </w:r>
      <w:r w:rsidRPr="00C642E7">
        <w:t xml:space="preserve">dle čl. </w:t>
      </w:r>
      <w:r>
        <w:t>5</w:t>
      </w:r>
      <w:r w:rsidRPr="00C642E7">
        <w:t>.</w:t>
      </w:r>
      <w:r>
        <w:t>3</w:t>
      </w:r>
      <w:r w:rsidRPr="00C642E7">
        <w:t xml:space="preserve"> této Smlouvy vzniká Poskytovateli</w:t>
      </w:r>
      <w:r w:rsidR="006A1C83">
        <w:t xml:space="preserve"> po předání dle čl. 3.1,</w:t>
      </w:r>
      <w:r w:rsidRPr="00C642E7">
        <w:t xml:space="preserve"> </w:t>
      </w:r>
      <w:r w:rsidR="00431A74">
        <w:t xml:space="preserve">na základě Objednatelem potvrzeného předávacího protokolu a Poskytovatelem vystaveného daňového dokladu. </w:t>
      </w:r>
    </w:p>
    <w:p w14:paraId="6669B096" w14:textId="4FC2861C" w:rsidR="00A9300D" w:rsidRDefault="00A9300D" w:rsidP="00431A74">
      <w:pPr>
        <w:pStyle w:val="Odstavecseseznamem"/>
      </w:pPr>
      <w:r w:rsidRPr="004F0BC3">
        <w:t xml:space="preserve">Právo na zaplacení Ceny či její části </w:t>
      </w:r>
      <w:r w:rsidR="0064368F">
        <w:t xml:space="preserve">Poskytovateli </w:t>
      </w:r>
      <w:r w:rsidR="006777D4" w:rsidRPr="004F0BC3">
        <w:t>vzniká u Paušálních služeb</w:t>
      </w:r>
      <w:r w:rsidR="00C642E7">
        <w:t xml:space="preserve"> dle čl. 5.4</w:t>
      </w:r>
      <w:r w:rsidR="006777D4" w:rsidRPr="004F0BC3">
        <w:t xml:space="preserve"> vždy po </w:t>
      </w:r>
      <w:r w:rsidR="006777D4" w:rsidRPr="00BC65AE">
        <w:t>akceptaci výkazu Paušálních služeb, který je Poskytovatel povinen vždy doručit Objednateli do deseti (10) dnů po skončení měsíce, ve kterém byly Paušální služby poskytnuty.</w:t>
      </w:r>
    </w:p>
    <w:p w14:paraId="230380E2" w14:textId="25CFC117" w:rsidR="00FA557A" w:rsidRDefault="00FD7F1B" w:rsidP="00431A74">
      <w:pPr>
        <w:pStyle w:val="Odstavecseseznamem"/>
      </w:pPr>
      <w:r w:rsidRPr="005B65D6">
        <w:t xml:space="preserve">Právo na zaplacení </w:t>
      </w:r>
      <w:r w:rsidR="00FA557A" w:rsidRPr="005B65D6">
        <w:t>ceny</w:t>
      </w:r>
      <w:r w:rsidR="005B65D6">
        <w:t xml:space="preserve"> za servery pro sběr kolekcí</w:t>
      </w:r>
      <w:r w:rsidR="00FA557A" w:rsidRPr="005B65D6">
        <w:t xml:space="preserve"> dle čl. </w:t>
      </w:r>
      <w:r w:rsidR="005B65D6" w:rsidRPr="005B65D6">
        <w:t>5</w:t>
      </w:r>
      <w:r w:rsidR="00FA557A" w:rsidRPr="005B65D6">
        <w:t>.</w:t>
      </w:r>
      <w:r w:rsidR="005B65D6" w:rsidRPr="005B65D6">
        <w:t>5</w:t>
      </w:r>
      <w:r w:rsidR="00FA557A" w:rsidRPr="005B65D6">
        <w:t xml:space="preserve"> této Smlouvy vzniká Poskytovateli</w:t>
      </w:r>
      <w:r w:rsidR="006A1C83">
        <w:t xml:space="preserve"> po předání dle čl. 3.1,</w:t>
      </w:r>
      <w:r w:rsidR="006A1C83" w:rsidRPr="00C642E7">
        <w:t xml:space="preserve"> </w:t>
      </w:r>
      <w:r w:rsidR="00431A74">
        <w:t>na základě Objednatelem potvrzeného předávacího protokolu a Poskytovatelem vystaveného daňového dokladu.</w:t>
      </w:r>
    </w:p>
    <w:p w14:paraId="3DE31BF2" w14:textId="2E2F55A4" w:rsidR="00431A74" w:rsidRPr="00431A74" w:rsidRDefault="005B65D6" w:rsidP="00431A74">
      <w:pPr>
        <w:pStyle w:val="Odstavecseseznamem"/>
      </w:pPr>
      <w:r w:rsidRPr="005B65D6">
        <w:t>Právo na zaplacení ceny</w:t>
      </w:r>
      <w:r>
        <w:t xml:space="preserve"> za rozšíření SAP HANA prostředí</w:t>
      </w:r>
      <w:r w:rsidRPr="005B65D6">
        <w:t xml:space="preserve"> dle čl. 5.</w:t>
      </w:r>
      <w:r>
        <w:t>6</w:t>
      </w:r>
      <w:r w:rsidRPr="005B65D6">
        <w:t xml:space="preserve"> této Smlouvy vzniká Poskytovateli</w:t>
      </w:r>
      <w:r>
        <w:t xml:space="preserve"> </w:t>
      </w:r>
      <w:r w:rsidR="006A1C83">
        <w:t>po předání dle čl. 3.1,</w:t>
      </w:r>
      <w:r w:rsidR="006A1C83" w:rsidRPr="00C642E7">
        <w:t xml:space="preserve"> </w:t>
      </w:r>
      <w:r w:rsidR="00431A74" w:rsidRPr="00431A74">
        <w:t>na základě Objednatelem potvrzeného předávacího protokolu a Poskytovatelem vystaveného daňového dokladu.</w:t>
      </w:r>
    </w:p>
    <w:p w14:paraId="5A001DB0" w14:textId="5AFAB8DC" w:rsidR="000D132C" w:rsidRDefault="000D132C" w:rsidP="00C642E7">
      <w:pPr>
        <w:ind w:left="432"/>
      </w:pPr>
    </w:p>
    <w:bookmarkEnd w:id="4"/>
    <w:p w14:paraId="548BCC8B" w14:textId="2688F61E" w:rsidR="00A9300D" w:rsidRDefault="00A9300D" w:rsidP="000D132C">
      <w:pPr>
        <w:pStyle w:val="Nadpis4"/>
      </w:pPr>
      <w:r w:rsidRPr="002A7A4F">
        <w:lastRenderedPageBreak/>
        <w:t>Práva duševního vlastnictví</w:t>
      </w:r>
    </w:p>
    <w:p w14:paraId="404FC503" w14:textId="57F2EA95" w:rsidR="00A9300D" w:rsidRPr="005D2BBF" w:rsidRDefault="00A9300D" w:rsidP="00431A74">
      <w:pPr>
        <w:pStyle w:val="Odstavecseseznamem"/>
        <w:rPr>
          <w:iCs/>
          <w:noProof/>
        </w:rPr>
      </w:pPr>
      <w:r w:rsidRPr="00DD477F">
        <w:rPr>
          <w:noProof/>
        </w:rPr>
        <w:t xml:space="preserve">Pro Software vztahující se k Hardware platí článek 6.3. </w:t>
      </w:r>
      <w:r w:rsidR="007B5BEC" w:rsidRPr="00DD477F">
        <w:rPr>
          <w:noProof/>
        </w:rPr>
        <w:t xml:space="preserve">Přílohy č. </w:t>
      </w:r>
      <w:r w:rsidR="003A24AE">
        <w:rPr>
          <w:noProof/>
        </w:rPr>
        <w:t>4</w:t>
      </w:r>
      <w:r w:rsidR="00D060B4" w:rsidRPr="00DD477F">
        <w:rPr>
          <w:noProof/>
        </w:rPr>
        <w:t xml:space="preserve"> </w:t>
      </w:r>
      <w:r w:rsidR="00D060B4" w:rsidRPr="005D2BBF">
        <w:rPr>
          <w:iCs/>
          <w:noProof/>
        </w:rPr>
        <w:t>Zvláštní obchodní podmínky.</w:t>
      </w:r>
    </w:p>
    <w:p w14:paraId="44A2392E" w14:textId="7334C34D" w:rsidR="00A9300D" w:rsidRDefault="00467994" w:rsidP="00AF7750">
      <w:pPr>
        <w:pStyle w:val="Nadpis4"/>
        <w:numPr>
          <w:ilvl w:val="0"/>
          <w:numId w:val="11"/>
        </w:numPr>
      </w:pPr>
      <w:r>
        <w:t>Help</w:t>
      </w:r>
      <w:r w:rsidR="00CD05E9" w:rsidRPr="004F0BC3">
        <w:t>d</w:t>
      </w:r>
      <w:r w:rsidR="00A9300D" w:rsidRPr="004F0BC3">
        <w:t>esk</w:t>
      </w:r>
    </w:p>
    <w:p w14:paraId="156276B8" w14:textId="2DEEA30E" w:rsidR="00D060B4" w:rsidRPr="00D94B1E" w:rsidRDefault="00C57A96" w:rsidP="00C57A96">
      <w:pPr>
        <w:ind w:left="644" w:hanging="502"/>
      </w:pPr>
      <w:r>
        <w:t xml:space="preserve">7.1  </w:t>
      </w:r>
      <w:r>
        <w:tab/>
      </w:r>
      <w:r w:rsidR="00CD05E9" w:rsidRPr="00D060B4">
        <w:t xml:space="preserve">Poskytovatel </w:t>
      </w:r>
      <w:r w:rsidR="00A9300D" w:rsidRPr="00D060B4">
        <w:t xml:space="preserve">bude poskytovat </w:t>
      </w:r>
      <w:proofErr w:type="spellStart"/>
      <w:r w:rsidR="00467994" w:rsidRPr="00D060B4">
        <w:t>Helpd</w:t>
      </w:r>
      <w:r w:rsidR="00A9300D" w:rsidRPr="00D060B4">
        <w:t>esk</w:t>
      </w:r>
      <w:proofErr w:type="spellEnd"/>
      <w:r w:rsidR="00A9300D" w:rsidRPr="00D060B4">
        <w:t xml:space="preserve"> v </w:t>
      </w:r>
      <w:r w:rsidR="00A9300D" w:rsidRPr="00D94B1E">
        <w:t xml:space="preserve">režimu (3) ve smyslu čl. 10.1.1. </w:t>
      </w:r>
      <w:r w:rsidR="003A24AE">
        <w:t xml:space="preserve">            </w:t>
      </w:r>
      <w:r w:rsidR="00D060B4" w:rsidRPr="00D94B1E">
        <w:t xml:space="preserve">Přílohy č. </w:t>
      </w:r>
      <w:r w:rsidR="003A24AE">
        <w:t>4</w:t>
      </w:r>
      <w:r w:rsidR="00D060B4" w:rsidRPr="00D94B1E">
        <w:t xml:space="preserve"> </w:t>
      </w:r>
      <w:r w:rsidR="00D060B4" w:rsidRPr="00C57A96">
        <w:rPr>
          <w:i/>
          <w:iCs/>
        </w:rPr>
        <w:t>Zvláštní obchodní podmínky</w:t>
      </w:r>
      <w:r w:rsidR="00D060B4" w:rsidRPr="00D94B1E">
        <w:t>.</w:t>
      </w:r>
    </w:p>
    <w:p w14:paraId="7606D9CE" w14:textId="1D1E494C" w:rsidR="00A9300D" w:rsidRPr="005D2BBF" w:rsidRDefault="00C57A96" w:rsidP="00C57A96">
      <w:pPr>
        <w:ind w:left="644" w:hanging="502"/>
      </w:pPr>
      <w:r>
        <w:t>7.2</w:t>
      </w:r>
      <w:r>
        <w:tab/>
      </w:r>
      <w:r w:rsidR="00CD05E9" w:rsidRPr="00D94B1E">
        <w:t>Poskytovatel</w:t>
      </w:r>
      <w:r w:rsidR="00A9300D" w:rsidRPr="00D94B1E">
        <w:t xml:space="preserve"> bude provozovat </w:t>
      </w:r>
      <w:proofErr w:type="spellStart"/>
      <w:r w:rsidR="00467994" w:rsidRPr="00D94B1E">
        <w:t>Helpd</w:t>
      </w:r>
      <w:r w:rsidR="00A9300D" w:rsidRPr="00D94B1E">
        <w:t>esk</w:t>
      </w:r>
      <w:proofErr w:type="spellEnd"/>
      <w:r w:rsidR="00A9300D" w:rsidRPr="00D94B1E">
        <w:t xml:space="preserve"> v úrovni </w:t>
      </w:r>
      <w:r w:rsidR="00B14359" w:rsidRPr="00D94B1E">
        <w:t>(</w:t>
      </w:r>
      <w:r w:rsidR="00A9300D" w:rsidRPr="00D94B1E">
        <w:t>L2) ve smyslu č</w:t>
      </w:r>
      <w:r w:rsidR="00EB49E6" w:rsidRPr="00D94B1E">
        <w:t>l</w:t>
      </w:r>
      <w:r w:rsidR="00A9300D" w:rsidRPr="00D94B1E">
        <w:t xml:space="preserve">. 10.1.4. </w:t>
      </w:r>
      <w:r w:rsidR="003A24AE">
        <w:t xml:space="preserve">         </w:t>
      </w:r>
      <w:r w:rsidR="007B5BEC" w:rsidRPr="00D94B1E">
        <w:t xml:space="preserve">Přílohy č. </w:t>
      </w:r>
      <w:r w:rsidR="003A24AE">
        <w:t>4</w:t>
      </w:r>
      <w:r w:rsidR="00D060B4" w:rsidRPr="00D94B1E">
        <w:t xml:space="preserve"> </w:t>
      </w:r>
      <w:r w:rsidR="00D060B4" w:rsidRPr="005D2BBF">
        <w:rPr>
          <w:iCs/>
        </w:rPr>
        <w:t>Zvláštní obchodní podmínky</w:t>
      </w:r>
      <w:r w:rsidR="00D060B4" w:rsidRPr="005D2BBF">
        <w:t>.</w:t>
      </w:r>
    </w:p>
    <w:p w14:paraId="1438EE4B" w14:textId="77777777" w:rsidR="00A9300D" w:rsidRPr="00B01419" w:rsidRDefault="00A9300D" w:rsidP="000D132C">
      <w:pPr>
        <w:pStyle w:val="Nadpis4"/>
        <w:numPr>
          <w:ilvl w:val="0"/>
          <w:numId w:val="11"/>
        </w:numPr>
      </w:pPr>
      <w:r w:rsidRPr="00B01419">
        <w:t>Kybernetická bezpečnost</w:t>
      </w:r>
    </w:p>
    <w:p w14:paraId="06783DC1" w14:textId="51F43CF6" w:rsidR="00286C82" w:rsidRPr="00B01419" w:rsidRDefault="00C57A96" w:rsidP="00C57A96">
      <w:pPr>
        <w:ind w:left="644" w:hanging="502"/>
      </w:pPr>
      <w:r>
        <w:t>8.1</w:t>
      </w:r>
      <w:r>
        <w:tab/>
      </w:r>
      <w:r w:rsidR="00CD05E9" w:rsidRPr="00B01419">
        <w:t>Poskytovatel</w:t>
      </w:r>
      <w:r w:rsidR="00A9300D" w:rsidRPr="00B01419">
        <w:t xml:space="preserve"> je povinen dodržovat ustanovení týkající se kybernetické bezpečnosti ve smyslu článku </w:t>
      </w:r>
      <w:r w:rsidR="00CD05E9" w:rsidRPr="00B01419">
        <w:t>20</w:t>
      </w:r>
      <w:r w:rsidR="00D060B4" w:rsidRPr="00B01419">
        <w:t xml:space="preserve">. </w:t>
      </w:r>
      <w:r w:rsidR="007B5BEC" w:rsidRPr="00B01419">
        <w:t xml:space="preserve">Přílohy č. </w:t>
      </w:r>
      <w:r w:rsidR="003A24AE">
        <w:t>4</w:t>
      </w:r>
      <w:r w:rsidR="00D060B4" w:rsidRPr="00B01419">
        <w:t xml:space="preserve"> </w:t>
      </w:r>
      <w:r w:rsidR="00D060B4" w:rsidRPr="005D2BBF">
        <w:rPr>
          <w:iCs/>
        </w:rPr>
        <w:t>Zvláštní obchodní podmínky</w:t>
      </w:r>
      <w:r w:rsidR="00D060B4" w:rsidRPr="005D2BBF">
        <w:t>.</w:t>
      </w:r>
    </w:p>
    <w:p w14:paraId="07D13799" w14:textId="77777777" w:rsidR="00A9300D" w:rsidRPr="00B01419" w:rsidRDefault="00A9300D" w:rsidP="000D132C">
      <w:pPr>
        <w:pStyle w:val="Nadpis4"/>
        <w:numPr>
          <w:ilvl w:val="0"/>
          <w:numId w:val="11"/>
        </w:numPr>
      </w:pPr>
      <w:r w:rsidRPr="00B01419">
        <w:t>Ochrana osobních údajů</w:t>
      </w:r>
    </w:p>
    <w:p w14:paraId="4C9DCF7F" w14:textId="0167CFFC" w:rsidR="00A9300D" w:rsidRPr="00FB4569" w:rsidRDefault="00C57A96" w:rsidP="00C57A96">
      <w:pPr>
        <w:ind w:left="644" w:hanging="502"/>
      </w:pPr>
      <w:r>
        <w:t>9.1</w:t>
      </w:r>
      <w:r>
        <w:tab/>
      </w:r>
      <w:r w:rsidR="00A9300D" w:rsidRPr="004F0BC3">
        <w:t>Pokud bude v rámci plnění této Smlouvy docházet ke zpracování osobních údajů, zavazuje se P</w:t>
      </w:r>
      <w:r w:rsidR="008A572A" w:rsidRPr="004F0BC3">
        <w:t>oskytovatel</w:t>
      </w:r>
      <w:r w:rsidR="00A9300D" w:rsidRPr="004F0BC3">
        <w:t xml:space="preserve"> dodržovat opatření dle článku 2</w:t>
      </w:r>
      <w:r w:rsidR="00CD05E9" w:rsidRPr="004F0BC3">
        <w:t>1</w:t>
      </w:r>
      <w:r w:rsidR="00A9300D" w:rsidRPr="004F0BC3">
        <w:t>.</w:t>
      </w:r>
      <w:r w:rsidR="00D060B4">
        <w:t xml:space="preserve"> </w:t>
      </w:r>
      <w:r w:rsidR="007B5BEC">
        <w:t xml:space="preserve">Přílohy č. </w:t>
      </w:r>
      <w:r w:rsidR="003A24AE">
        <w:t>4</w:t>
      </w:r>
      <w:r w:rsidR="00D060B4" w:rsidRPr="00D060B4">
        <w:t xml:space="preserve"> </w:t>
      </w:r>
      <w:r w:rsidR="00D060B4" w:rsidRPr="005D2BBF">
        <w:rPr>
          <w:iCs/>
        </w:rPr>
        <w:t>Zvláštní obchodní podmínky</w:t>
      </w:r>
      <w:r w:rsidR="00D060B4" w:rsidRPr="005D2BBF">
        <w:t>.</w:t>
      </w:r>
    </w:p>
    <w:p w14:paraId="5D2E23E3" w14:textId="77777777" w:rsidR="00A9300D" w:rsidRPr="004F0BC3" w:rsidRDefault="00A9300D" w:rsidP="000D132C">
      <w:pPr>
        <w:pStyle w:val="Nadpis4"/>
        <w:numPr>
          <w:ilvl w:val="0"/>
          <w:numId w:val="11"/>
        </w:numPr>
      </w:pPr>
      <w:r w:rsidRPr="004F0BC3">
        <w:t>Závěrečná ustanovaní</w:t>
      </w:r>
    </w:p>
    <w:p w14:paraId="4E2392C1" w14:textId="3579CF8B" w:rsidR="00A9300D" w:rsidRPr="004F0BC3" w:rsidRDefault="00C57A96" w:rsidP="00C57A96">
      <w:pPr>
        <w:ind w:left="644" w:hanging="502"/>
      </w:pPr>
      <w:r>
        <w:t>10.1</w:t>
      </w:r>
      <w:r>
        <w:tab/>
      </w:r>
      <w:r w:rsidR="00A9300D" w:rsidRPr="004F0BC3">
        <w:t xml:space="preserve">Smlouva se řídí Obchodními podmínkami </w:t>
      </w:r>
      <w:r w:rsidR="00286C82" w:rsidRPr="004F0BC3">
        <w:t>Objednatele</w:t>
      </w:r>
      <w:r w:rsidR="00A9300D" w:rsidRPr="004F0BC3">
        <w:t xml:space="preserve"> a Zvláštními obchodními podmínkami </w:t>
      </w:r>
      <w:r w:rsidR="00286C82" w:rsidRPr="004F0BC3">
        <w:t>Objednatele</w:t>
      </w:r>
      <w:r w:rsidR="00A9300D" w:rsidRPr="004F0BC3">
        <w:t>. Ustanovení Zvláštních obchodních podmínek mají přednost před ustanoveními Obchodních podmínek</w:t>
      </w:r>
      <w:r w:rsidR="001E66ED">
        <w:t>. P</w:t>
      </w:r>
      <w:r w:rsidR="00A9300D" w:rsidRPr="004F0BC3">
        <w:t>okud jsou ustanovení těchto dokumentů v rozporu, uplatní se ustanovení uvedené ve Zvláštních obchodních podmínkách</w:t>
      </w:r>
      <w:r w:rsidR="00D060B4">
        <w:t>,</w:t>
      </w:r>
    </w:p>
    <w:p w14:paraId="2A271C1A" w14:textId="1EC356DC" w:rsidR="004803A8" w:rsidRDefault="00C57A96" w:rsidP="00C57A96">
      <w:pPr>
        <w:ind w:left="644" w:hanging="502"/>
      </w:pPr>
      <w:r>
        <w:t>10.2</w:t>
      </w:r>
      <w:r>
        <w:tab/>
      </w:r>
      <w:r w:rsidR="00A9300D" w:rsidRPr="004F0BC3">
        <w:t>Odchylná ujednání v této Smlouvě mají přednost před ustanoveními Obchodních podmínek a Zvláštních obchodních podmínek</w:t>
      </w:r>
      <w:r w:rsidR="00D060B4">
        <w:t>,</w:t>
      </w:r>
    </w:p>
    <w:p w14:paraId="589478FE" w14:textId="49514A01" w:rsidR="004803A8" w:rsidRDefault="00C57A96" w:rsidP="00C57A96">
      <w:pPr>
        <w:ind w:left="644" w:hanging="502"/>
      </w:pPr>
      <w:r>
        <w:t>10.3</w:t>
      </w:r>
      <w:r>
        <w:tab/>
      </w:r>
      <w:r w:rsidR="004803A8" w:rsidRPr="004803A8">
        <w:t>Tato Smlouva nabývá platnosti okamžikem podpisu poslední ze Stran. Je-li Smlouva uveřejňována v registru smluv, nabývá účinnosti dnem uveřejnění v registru smluv, jinak je účinná od okamžiku uzavření.</w:t>
      </w:r>
    </w:p>
    <w:p w14:paraId="1BC76228" w14:textId="7D14690F" w:rsidR="00142AD6" w:rsidRDefault="00C57A96" w:rsidP="003A24AE">
      <w:pPr>
        <w:ind w:left="644" w:hanging="502"/>
      </w:pPr>
      <w:r>
        <w:t>10.4</w:t>
      </w:r>
      <w:r>
        <w:tab/>
      </w:r>
      <w:r w:rsidR="00142AD6" w:rsidRPr="00254B31">
        <w:t>Tato Smlouva je vyhotovena v elektronické podobě, přičemž obě Smluvní strany obdrží její elektronický originál</w:t>
      </w:r>
      <w:r w:rsidR="00903DE0">
        <w:t xml:space="preserve"> opatřený elektronickými podpisy</w:t>
      </w:r>
      <w:r w:rsidR="00142AD6" w:rsidRPr="00254B31">
        <w:t>. V případě, že tato Smlouva z jakéhokoli důvodu nebude vyhotovena v elektronické podobě, bude sepsána ve třech vyhotoveních, přičemž jedno vyhotovení obdrží Poskytovatel a dvě vyhotovení Objednatel.</w:t>
      </w:r>
    </w:p>
    <w:p w14:paraId="4B0D56B9" w14:textId="631E3D4F" w:rsidR="00142AD6" w:rsidRPr="00254B31" w:rsidRDefault="003A24AE" w:rsidP="003A24AE">
      <w:pPr>
        <w:ind w:left="644" w:hanging="502"/>
      </w:pPr>
      <w:r>
        <w:t>10.5</w:t>
      </w:r>
      <w:r>
        <w:tab/>
      </w:r>
      <w:r w:rsidR="00142AD6"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C4C7E7" w14:textId="0F8C983C" w:rsidR="00142AD6" w:rsidRPr="00254B31" w:rsidRDefault="003A24AE" w:rsidP="003A24AE">
      <w:pPr>
        <w:ind w:left="644" w:hanging="502"/>
      </w:pPr>
      <w:r>
        <w:t>10.6</w:t>
      </w:r>
      <w:r>
        <w:tab/>
      </w:r>
      <w:r w:rsidR="00142AD6"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35DACE" w14:textId="73D6EB61" w:rsidR="00142AD6" w:rsidRPr="00254B31" w:rsidRDefault="003A24AE" w:rsidP="003A24AE">
      <w:pPr>
        <w:ind w:left="644" w:hanging="502"/>
      </w:pPr>
      <w:r>
        <w:lastRenderedPageBreak/>
        <w:t>10.7</w:t>
      </w:r>
      <w:r>
        <w:tab/>
      </w:r>
      <w:r w:rsidR="00142AD6"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1814A2" w14:textId="237BC5BC" w:rsidR="00142AD6" w:rsidRPr="00254B31" w:rsidRDefault="003A24AE" w:rsidP="003A24AE">
      <w:pPr>
        <w:ind w:left="644" w:hanging="502"/>
      </w:pPr>
      <w:r>
        <w:t>10.8</w:t>
      </w:r>
      <w:r>
        <w:tab/>
      </w:r>
      <w:r w:rsidR="00142AD6"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27C4601D" w:rsidR="00142AD6" w:rsidRPr="004803A8" w:rsidRDefault="003A24AE" w:rsidP="003A24AE">
      <w:pPr>
        <w:ind w:left="644" w:hanging="502"/>
      </w:pPr>
      <w:r>
        <w:t>10.9</w:t>
      </w:r>
      <w:r>
        <w:tab/>
      </w:r>
      <w:r w:rsidR="00142AD6" w:rsidRPr="00254B31">
        <w:t>Osoby uzavírající tuto smlouvu za Smluvní strany souhlasí s uveřejněním svých osobních údajů, které jsou uvedeny v této smlouvě, spolu se smlouvou v registru smluv. Tento souhlas je udělen na dobu neurčitou.</w:t>
      </w:r>
    </w:p>
    <w:p w14:paraId="3AD74CD6" w14:textId="6A8623B7" w:rsidR="00A9300D" w:rsidRPr="004F0BC3" w:rsidRDefault="003A24AE" w:rsidP="003A24AE">
      <w:pPr>
        <w:ind w:left="142"/>
      </w:pPr>
      <w:r>
        <w:t>10.10</w:t>
      </w:r>
      <w:r>
        <w:tab/>
      </w:r>
      <w:r w:rsidR="00A9300D" w:rsidRPr="004F0BC3">
        <w:t>Nedílnou součástí této Smlouvy jsou její přílohy:</w:t>
      </w:r>
    </w:p>
    <w:p w14:paraId="0D1D4731" w14:textId="77777777" w:rsidR="00B0592B" w:rsidRDefault="00B0592B" w:rsidP="00A9300D">
      <w:pPr>
        <w:spacing w:after="0" w:line="276" w:lineRule="auto"/>
        <w:rPr>
          <w:rFonts w:asciiTheme="majorHAnsi" w:hAnsiTheme="majorHAnsi"/>
        </w:rPr>
      </w:pPr>
    </w:p>
    <w:p w14:paraId="70AB6F3A" w14:textId="77777777" w:rsidR="00A9300D" w:rsidRPr="004F0BC3" w:rsidRDefault="00A9300D" w:rsidP="00A9300D">
      <w:pPr>
        <w:spacing w:after="0" w:line="276" w:lineRule="auto"/>
        <w:rPr>
          <w:rFonts w:asciiTheme="majorHAnsi" w:hAnsiTheme="majorHAnsi"/>
        </w:rPr>
      </w:pPr>
      <w:r w:rsidRPr="004F0BC3">
        <w:rPr>
          <w:rFonts w:asciiTheme="majorHAnsi" w:hAnsiTheme="majorHAnsi"/>
        </w:rPr>
        <w:t>Příloha č. 1 – Specifikace Plnění</w:t>
      </w:r>
    </w:p>
    <w:p w14:paraId="7BD6FAD4" w14:textId="3B31BE84" w:rsidR="00A9300D" w:rsidRPr="004F0BC3" w:rsidRDefault="00A9300D" w:rsidP="00A9300D">
      <w:pPr>
        <w:spacing w:after="0" w:line="276" w:lineRule="auto"/>
        <w:rPr>
          <w:rFonts w:asciiTheme="majorHAnsi" w:hAnsiTheme="majorHAnsi"/>
        </w:rPr>
      </w:pPr>
      <w:r w:rsidRPr="004F0BC3">
        <w:rPr>
          <w:rFonts w:asciiTheme="majorHAnsi" w:hAnsiTheme="majorHAnsi"/>
        </w:rPr>
        <w:t xml:space="preserve">Příloha č. 2 – Cena </w:t>
      </w:r>
      <w:r w:rsidR="00CD05E9" w:rsidRPr="004F0BC3">
        <w:rPr>
          <w:rFonts w:asciiTheme="majorHAnsi" w:hAnsiTheme="majorHAnsi"/>
        </w:rPr>
        <w:t>P</w:t>
      </w:r>
      <w:r w:rsidRPr="004F0BC3">
        <w:rPr>
          <w:rFonts w:asciiTheme="majorHAnsi" w:hAnsiTheme="majorHAnsi"/>
        </w:rPr>
        <w:t>lnění</w:t>
      </w:r>
    </w:p>
    <w:p w14:paraId="0161937A" w14:textId="1862B63C" w:rsidR="00A9300D" w:rsidRDefault="00A9300D" w:rsidP="00A9300D">
      <w:pPr>
        <w:spacing w:after="0" w:line="276" w:lineRule="auto"/>
        <w:rPr>
          <w:rFonts w:asciiTheme="majorHAnsi" w:hAnsiTheme="majorHAnsi"/>
        </w:rPr>
      </w:pPr>
      <w:r w:rsidRPr="004F0BC3">
        <w:rPr>
          <w:rFonts w:asciiTheme="majorHAnsi" w:hAnsiTheme="majorHAnsi"/>
        </w:rPr>
        <w:t>Příloha č. 3 – Platforma SŽ</w:t>
      </w:r>
    </w:p>
    <w:p w14:paraId="1DF5CE13" w14:textId="4DF8ECFF" w:rsidR="00390C79" w:rsidRDefault="00390C79" w:rsidP="00A9300D">
      <w:pPr>
        <w:spacing w:after="0" w:line="276" w:lineRule="auto"/>
        <w:rPr>
          <w:rFonts w:asciiTheme="majorHAnsi" w:hAnsiTheme="majorHAnsi"/>
        </w:rPr>
      </w:pPr>
      <w:r w:rsidRPr="00390C79">
        <w:rPr>
          <w:rFonts w:asciiTheme="majorHAnsi" w:hAnsiTheme="majorHAnsi"/>
        </w:rPr>
        <w:t xml:space="preserve">Příloha č. 4 – </w:t>
      </w:r>
      <w:r w:rsidR="00102F48" w:rsidRPr="00102F48">
        <w:rPr>
          <w:rFonts w:asciiTheme="majorHAnsi" w:hAnsiTheme="majorHAnsi"/>
        </w:rPr>
        <w:t>Zvláštní obchodní podmínky</w:t>
      </w:r>
      <w:r w:rsidR="00102F48">
        <w:rPr>
          <w:rFonts w:asciiTheme="majorHAnsi" w:hAnsiTheme="majorHAnsi"/>
        </w:rPr>
        <w:t xml:space="preserve"> </w:t>
      </w:r>
    </w:p>
    <w:p w14:paraId="00AA96F3" w14:textId="69D9D512" w:rsidR="00D060B4" w:rsidRDefault="00390C79" w:rsidP="00A9300D">
      <w:pPr>
        <w:spacing w:after="0" w:line="276" w:lineRule="auto"/>
        <w:rPr>
          <w:rFonts w:asciiTheme="majorHAnsi" w:hAnsiTheme="majorHAnsi"/>
        </w:rPr>
      </w:pPr>
      <w:r>
        <w:rPr>
          <w:rFonts w:asciiTheme="majorHAnsi" w:hAnsiTheme="majorHAnsi"/>
        </w:rPr>
        <w:t>Příloha č. 5</w:t>
      </w:r>
      <w:r w:rsidR="00D060B4">
        <w:rPr>
          <w:rFonts w:asciiTheme="majorHAnsi" w:hAnsiTheme="majorHAnsi"/>
        </w:rPr>
        <w:t xml:space="preserve"> – </w:t>
      </w:r>
      <w:r w:rsidR="00102F48" w:rsidRPr="00102F48">
        <w:rPr>
          <w:rFonts w:asciiTheme="majorHAnsi" w:hAnsiTheme="majorHAnsi"/>
        </w:rPr>
        <w:t xml:space="preserve">Poddodavatelé </w:t>
      </w:r>
      <w:r w:rsidR="00102F48" w:rsidRPr="003A24AE">
        <w:rPr>
          <w:rFonts w:asciiTheme="majorHAnsi" w:hAnsiTheme="majorHAnsi"/>
          <w:highlight w:val="green"/>
        </w:rPr>
        <w:t xml:space="preserve">[doplní </w:t>
      </w:r>
      <w:r w:rsidR="00EC020A" w:rsidRPr="003A24AE">
        <w:rPr>
          <w:rFonts w:asciiTheme="majorHAnsi" w:hAnsiTheme="majorHAnsi"/>
          <w:highlight w:val="green"/>
        </w:rPr>
        <w:t>poskyto</w:t>
      </w:r>
      <w:r w:rsidR="00102F48" w:rsidRPr="003A24AE">
        <w:rPr>
          <w:rFonts w:asciiTheme="majorHAnsi" w:hAnsiTheme="majorHAnsi"/>
          <w:highlight w:val="green"/>
        </w:rPr>
        <w:t>vatel</w:t>
      </w:r>
      <w:r w:rsidR="00102F48">
        <w:rPr>
          <w:rFonts w:asciiTheme="majorHAnsi" w:hAnsiTheme="majorHAnsi"/>
        </w:rPr>
        <w:t xml:space="preserve"> ]</w:t>
      </w:r>
    </w:p>
    <w:p w14:paraId="004B35C6" w14:textId="6E8CEB48" w:rsidR="00145EF6" w:rsidRPr="004F0BC3" w:rsidRDefault="00145EF6" w:rsidP="00A9300D">
      <w:pPr>
        <w:spacing w:after="0" w:line="276" w:lineRule="auto"/>
        <w:rPr>
          <w:rFonts w:asciiTheme="majorHAnsi" w:hAnsiTheme="majorHAnsi"/>
        </w:rPr>
      </w:pPr>
      <w:r>
        <w:rPr>
          <w:rFonts w:asciiTheme="majorHAnsi" w:hAnsiTheme="majorHAnsi"/>
        </w:rPr>
        <w:t xml:space="preserve">Příloha č. 6 – Realizační tým </w:t>
      </w:r>
      <w:r w:rsidRPr="003A24AE">
        <w:rPr>
          <w:rFonts w:asciiTheme="majorHAnsi" w:hAnsiTheme="majorHAnsi"/>
          <w:highlight w:val="green"/>
        </w:rPr>
        <w:t>[doplní poskytovatel</w:t>
      </w:r>
      <w:r>
        <w:rPr>
          <w:rFonts w:asciiTheme="majorHAnsi" w:hAnsiTheme="majorHAnsi"/>
        </w:rPr>
        <w:t xml:space="preserve"> ]</w:t>
      </w:r>
      <w:bookmarkStart w:id="5" w:name="_GoBack"/>
      <w:bookmarkEnd w:id="5"/>
    </w:p>
    <w:p w14:paraId="0173C75C" w14:textId="77777777" w:rsidR="00A9300D" w:rsidRPr="004F0BC3" w:rsidRDefault="00A9300D" w:rsidP="00A9300D">
      <w:pPr>
        <w:spacing w:after="0" w:line="276" w:lineRule="auto"/>
        <w:rPr>
          <w:rFonts w:asciiTheme="majorHAnsi" w:hAnsiTheme="majorHAnsi"/>
        </w:rPr>
      </w:pPr>
    </w:p>
    <w:p w14:paraId="6D8493DF" w14:textId="77777777" w:rsidR="003A24AE" w:rsidRDefault="003A24AE" w:rsidP="00142AD6">
      <w:pPr>
        <w:spacing w:after="0" w:line="276" w:lineRule="auto"/>
        <w:rPr>
          <w:rFonts w:asciiTheme="majorHAnsi" w:hAnsiTheme="majorHAnsi"/>
        </w:rPr>
      </w:pPr>
    </w:p>
    <w:p w14:paraId="64CFF8FD" w14:textId="77777777" w:rsidR="003A24AE" w:rsidRDefault="003A24AE" w:rsidP="00142AD6">
      <w:pPr>
        <w:spacing w:after="0" w:line="276" w:lineRule="auto"/>
        <w:rPr>
          <w:rFonts w:asciiTheme="majorHAnsi" w:hAnsiTheme="majorHAnsi"/>
        </w:rPr>
      </w:pPr>
    </w:p>
    <w:p w14:paraId="1229D4EA" w14:textId="77777777" w:rsidR="003A24AE" w:rsidRDefault="003A24AE" w:rsidP="00142AD6">
      <w:pPr>
        <w:spacing w:after="0" w:line="276" w:lineRule="auto"/>
        <w:rPr>
          <w:rFonts w:asciiTheme="majorHAnsi" w:hAnsiTheme="majorHAnsi"/>
        </w:rPr>
      </w:pPr>
    </w:p>
    <w:p w14:paraId="1C3B482C" w14:textId="77777777" w:rsidR="00142AD6" w:rsidRPr="009A1CA4" w:rsidRDefault="00142AD6" w:rsidP="00142AD6">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294C6DFE" w14:textId="77777777" w:rsidR="00142AD6" w:rsidRPr="009A1CA4" w:rsidRDefault="00142AD6" w:rsidP="00142AD6">
      <w:pPr>
        <w:spacing w:after="0" w:line="276" w:lineRule="auto"/>
        <w:rPr>
          <w:rFonts w:asciiTheme="majorHAnsi" w:hAnsiTheme="majorHAnsi"/>
        </w:rPr>
      </w:pPr>
    </w:p>
    <w:p w14:paraId="742470FA" w14:textId="77777777" w:rsidR="00142AD6" w:rsidRPr="009A1CA4" w:rsidRDefault="00142AD6" w:rsidP="00142AD6">
      <w:pPr>
        <w:spacing w:after="0" w:line="276" w:lineRule="auto"/>
        <w:rPr>
          <w:rFonts w:asciiTheme="majorHAnsi" w:hAnsiTheme="majorHAnsi"/>
        </w:rPr>
      </w:pPr>
    </w:p>
    <w:p w14:paraId="350F2081" w14:textId="77777777" w:rsidR="00142AD6" w:rsidRPr="009A1CA4" w:rsidRDefault="00142AD6" w:rsidP="00142AD6">
      <w:pPr>
        <w:spacing w:after="0" w:line="276" w:lineRule="auto"/>
        <w:rPr>
          <w:rFonts w:asciiTheme="majorHAnsi" w:hAnsiTheme="majorHAnsi"/>
        </w:rPr>
      </w:pPr>
    </w:p>
    <w:p w14:paraId="205ECE1B" w14:textId="77777777" w:rsidR="00142AD6" w:rsidRDefault="00142AD6" w:rsidP="00142AD6">
      <w:pPr>
        <w:spacing w:after="0" w:line="276" w:lineRule="auto"/>
        <w:rPr>
          <w:rFonts w:asciiTheme="majorHAnsi" w:hAnsiTheme="majorHAnsi"/>
        </w:rPr>
      </w:pPr>
    </w:p>
    <w:p w14:paraId="7015A218" w14:textId="77777777" w:rsidR="00142AD6" w:rsidRDefault="00142AD6" w:rsidP="00142AD6">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8F86D15" w14:textId="669CF4EA" w:rsidR="00142AD6" w:rsidRDefault="00102F48" w:rsidP="00142AD6">
      <w:pPr>
        <w:spacing w:after="0" w:line="276" w:lineRule="auto"/>
        <w:rPr>
          <w:rFonts w:asciiTheme="majorHAnsi" w:hAnsiTheme="majorHAnsi"/>
        </w:rPr>
      </w:pPr>
      <w:r w:rsidRPr="00102F48">
        <w:rPr>
          <w:b/>
          <w:noProof/>
        </w:rPr>
        <w:t>Ing. Aleš Krejčí</w:t>
      </w:r>
      <w:r w:rsidRPr="00102F48">
        <w:rPr>
          <w:rFonts w:asciiTheme="majorHAnsi" w:hAnsiTheme="majorHAnsi"/>
        </w:rPr>
        <w:t xml:space="preserve"> </w:t>
      </w:r>
      <w:r w:rsidR="00142AD6" w:rsidRPr="00102F48">
        <w:rPr>
          <w:rFonts w:asciiTheme="majorHAnsi" w:hAnsiTheme="majorHAnsi"/>
        </w:rPr>
        <w:tab/>
      </w:r>
      <w:r w:rsidR="00142AD6" w:rsidRPr="00102F48">
        <w:rPr>
          <w:rFonts w:asciiTheme="majorHAnsi" w:hAnsiTheme="majorHAnsi"/>
        </w:rPr>
        <w:tab/>
      </w:r>
      <w:r w:rsidR="00142AD6" w:rsidRPr="00102F48">
        <w:rPr>
          <w:rFonts w:asciiTheme="majorHAnsi" w:hAnsiTheme="majorHAnsi"/>
        </w:rPr>
        <w:tab/>
      </w:r>
      <w:r w:rsidRPr="00102F48">
        <w:rPr>
          <w:rFonts w:asciiTheme="majorHAnsi" w:hAnsiTheme="majorHAnsi"/>
        </w:rPr>
        <w:t xml:space="preserve">         </w:t>
      </w:r>
      <w:r>
        <w:rPr>
          <w:rFonts w:asciiTheme="majorHAnsi" w:hAnsiTheme="majorHAnsi"/>
        </w:rPr>
        <w:tab/>
      </w:r>
      <w:r>
        <w:rPr>
          <w:rFonts w:asciiTheme="majorHAnsi" w:hAnsiTheme="majorHAnsi"/>
        </w:rPr>
        <w:tab/>
      </w:r>
      <w:r w:rsidRPr="00102F48">
        <w:rPr>
          <w:rFonts w:asciiTheme="majorHAnsi" w:hAnsiTheme="majorHAnsi"/>
        </w:rPr>
        <w:t xml:space="preserve"> </w:t>
      </w:r>
      <w:r w:rsidR="00142AD6" w:rsidRPr="003A24AE">
        <w:rPr>
          <w:rFonts w:asciiTheme="majorHAnsi" w:hAnsiTheme="majorHAnsi"/>
          <w:noProof/>
          <w:highlight w:val="green"/>
        </w:rPr>
        <w:t>[</w:t>
      </w:r>
      <w:r w:rsidR="00142AD6" w:rsidRPr="003A24AE">
        <w:rPr>
          <w:rFonts w:asciiTheme="majorHAnsi" w:hAnsiTheme="majorHAnsi"/>
          <w:i/>
          <w:iCs/>
          <w:noProof/>
          <w:highlight w:val="green"/>
        </w:rPr>
        <w:t>DOPLNÍ POSKYTOVATEL</w:t>
      </w:r>
      <w:r w:rsidR="00142AD6" w:rsidRPr="003A24AE">
        <w:rPr>
          <w:rFonts w:asciiTheme="majorHAnsi" w:hAnsiTheme="majorHAnsi"/>
          <w:noProof/>
          <w:highlight w:val="green"/>
        </w:rPr>
        <w:t>]</w:t>
      </w:r>
    </w:p>
    <w:p w14:paraId="7B2E9A61" w14:textId="15E94E48" w:rsidR="00CD05E9" w:rsidRPr="00102F48" w:rsidRDefault="00102F48" w:rsidP="00142AD6">
      <w:pPr>
        <w:rPr>
          <w:rFonts w:asciiTheme="majorHAnsi" w:eastAsia="Times New Roman" w:hAnsiTheme="majorHAnsi" w:cs="Times New Roman"/>
          <w:caps/>
          <w:kern w:val="20"/>
        </w:rPr>
      </w:pPr>
      <w:r w:rsidRPr="00102F48">
        <w:rPr>
          <w:rFonts w:asciiTheme="majorHAnsi" w:eastAsia="Times New Roman" w:hAnsiTheme="majorHAnsi" w:cs="Times New Roman"/>
          <w:kern w:val="20"/>
        </w:rPr>
        <w:t xml:space="preserve">náměstek </w:t>
      </w:r>
      <w:r>
        <w:rPr>
          <w:rFonts w:asciiTheme="majorHAnsi" w:eastAsia="Times New Roman" w:hAnsiTheme="majorHAnsi" w:cs="Times New Roman"/>
          <w:kern w:val="20"/>
        </w:rPr>
        <w:t>GŘ</w:t>
      </w:r>
      <w:r w:rsidRPr="00102F48">
        <w:rPr>
          <w:rFonts w:asciiTheme="majorHAnsi" w:eastAsia="Times New Roman" w:hAnsiTheme="majorHAnsi" w:cs="Times New Roman"/>
          <w:kern w:val="20"/>
        </w:rPr>
        <w:t xml:space="preserve"> pro ekonomiku</w:t>
      </w:r>
    </w:p>
    <w:sectPr w:rsidR="00CD05E9" w:rsidRPr="00102F48" w:rsidSect="00DB2DC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38F7E7" w15:done="0"/>
  <w15:commentEx w15:paraId="6A5089C8" w15:done="0"/>
  <w15:commentEx w15:paraId="09773E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1DC8E" w14:textId="77777777" w:rsidR="00125BEE" w:rsidRDefault="00125BEE" w:rsidP="00962258">
      <w:pPr>
        <w:spacing w:after="0" w:line="240" w:lineRule="auto"/>
      </w:pPr>
      <w:r>
        <w:separator/>
      </w:r>
    </w:p>
  </w:endnote>
  <w:endnote w:type="continuationSeparator" w:id="0">
    <w:p w14:paraId="389E5DA1" w14:textId="77777777" w:rsidR="00125BEE" w:rsidRDefault="00125B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7777777" w:rsidR="00A90199" w:rsidRDefault="00A90199" w:rsidP="00B8518B">
          <w:pPr>
            <w:pStyle w:val="Zpat"/>
          </w:pPr>
        </w:p>
      </w:tc>
      <w:tc>
        <w:tcPr>
          <w:tcW w:w="2835" w:type="dxa"/>
          <w:gridSpan w:val="2"/>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38680432"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5EF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5EF6">
            <w:rPr>
              <w:rStyle w:val="slostrnky"/>
              <w:noProof/>
            </w:rPr>
            <w:t>5</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F6C5B72"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CC756C"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116D803E"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5E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5EF6">
            <w:rPr>
              <w:rStyle w:val="slostrnky"/>
              <w:noProof/>
            </w:rPr>
            <w:t>5</w:t>
          </w:r>
          <w:r w:rsidRPr="00B8518B">
            <w:rPr>
              <w:rStyle w:val="slostrnky"/>
            </w:rPr>
            <w:fldChar w:fldCharType="end"/>
          </w:r>
        </w:p>
      </w:tc>
      <w:tc>
        <w:tcPr>
          <w:tcW w:w="3458" w:type="dxa"/>
          <w:shd w:val="clear" w:color="auto" w:fill="auto"/>
          <w:tcMar>
            <w:left w:w="0" w:type="dxa"/>
            <w:right w:w="0" w:type="dxa"/>
          </w:tcMar>
        </w:tcPr>
        <w:p w14:paraId="61156718" w14:textId="77777777" w:rsidR="001B35C8" w:rsidRDefault="001B35C8" w:rsidP="001B35C8">
          <w:pPr>
            <w:pStyle w:val="Zpat"/>
          </w:pPr>
          <w:r>
            <w:t>Správa železnic, státní organizace</w:t>
          </w:r>
        </w:p>
        <w:p w14:paraId="0D20F850" w14:textId="77777777" w:rsidR="001B35C8" w:rsidRDefault="001B35C8" w:rsidP="001B35C8">
          <w:pPr>
            <w:pStyle w:val="Zpat"/>
          </w:pPr>
          <w:r>
            <w:t>zapsána v obchodním rejstříku vedeném Městským soudem v Praze, spisová značka A 48384</w:t>
          </w:r>
        </w:p>
      </w:tc>
      <w:tc>
        <w:tcPr>
          <w:tcW w:w="2835" w:type="dxa"/>
          <w:shd w:val="clear" w:color="auto" w:fill="auto"/>
          <w:tcMar>
            <w:left w:w="0" w:type="dxa"/>
            <w:right w:w="0" w:type="dxa"/>
          </w:tcMar>
        </w:tcPr>
        <w:p w14:paraId="44E2BA74" w14:textId="77777777" w:rsidR="001B35C8" w:rsidRDefault="001B35C8" w:rsidP="001B35C8">
          <w:pPr>
            <w:pStyle w:val="Zpat"/>
          </w:pPr>
          <w:r>
            <w:t>Sídlo: Dlážděná 1003/7, 110 00 Praha 1</w:t>
          </w:r>
        </w:p>
        <w:p w14:paraId="4917C01E" w14:textId="77777777" w:rsidR="001B35C8" w:rsidRDefault="001B35C8" w:rsidP="001B35C8">
          <w:pPr>
            <w:pStyle w:val="Zpat"/>
          </w:pPr>
          <w:r>
            <w:t>IČO: 709 94 234 DIČ: CZ 709 94 234</w:t>
          </w:r>
        </w:p>
        <w:p w14:paraId="2F321FC8" w14:textId="77777777" w:rsidR="001B35C8" w:rsidRDefault="001B35C8" w:rsidP="001B35C8">
          <w:pPr>
            <w:pStyle w:val="Zpat"/>
          </w:pPr>
          <w:r>
            <w:t>www.szdc.cz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E194E06"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EFAA0C5"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62C41" w14:textId="77777777" w:rsidR="00125BEE" w:rsidRDefault="00125BEE" w:rsidP="00962258">
      <w:pPr>
        <w:spacing w:after="0" w:line="240" w:lineRule="auto"/>
      </w:pPr>
      <w:r>
        <w:separator/>
      </w:r>
    </w:p>
  </w:footnote>
  <w:footnote w:type="continuationSeparator" w:id="0">
    <w:p w14:paraId="0B6B47FE" w14:textId="77777777" w:rsidR="00125BEE" w:rsidRDefault="00125BE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7CB76CCC" w14:textId="77777777" w:rsidR="001B35C8" w:rsidRPr="00D6163D" w:rsidRDefault="001B35C8" w:rsidP="001B35C8">
          <w:pPr>
            <w:pStyle w:val="Druhdokumentu"/>
          </w:pPr>
        </w:p>
      </w:tc>
    </w:tr>
    <w:tr w:rsidR="001B35C8" w14:paraId="7EB75F6E" w14:textId="77777777" w:rsidTr="001B35C8">
      <w:trPr>
        <w:trHeight w:hRule="exact" w:val="936"/>
      </w:trPr>
      <w:tc>
        <w:tcPr>
          <w:tcW w:w="1361" w:type="dxa"/>
          <w:tcMar>
            <w:left w:w="0" w:type="dxa"/>
            <w:right w:w="0" w:type="dxa"/>
          </w:tcMar>
        </w:tcPr>
        <w:p w14:paraId="5B531080"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CACF5A3" w14:textId="77777777" w:rsidR="001B35C8" w:rsidRDefault="001B35C8" w:rsidP="001B35C8">
          <w:pPr>
            <w:pStyle w:val="Zpat"/>
          </w:pPr>
        </w:p>
      </w:tc>
      <w:tc>
        <w:tcPr>
          <w:tcW w:w="5698" w:type="dxa"/>
          <w:shd w:val="clear" w:color="auto" w:fill="auto"/>
          <w:tcMar>
            <w:left w:w="0" w:type="dxa"/>
            <w:right w:w="0" w:type="dxa"/>
          </w:tcMar>
        </w:tcPr>
        <w:p w14:paraId="325840B6"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B1DDC"/>
    <w:multiLevelType w:val="multilevel"/>
    <w:tmpl w:val="09C41924"/>
    <w:lvl w:ilvl="0">
      <w:start w:val="1"/>
      <w:numFmt w:val="decimal"/>
      <w:pStyle w:val="Nadpis4"/>
      <w:lvlText w:val="%1."/>
      <w:lvlJc w:val="left"/>
      <w:pPr>
        <w:ind w:left="644" w:hanging="360"/>
      </w:pPr>
    </w:lvl>
    <w:lvl w:ilvl="1">
      <w:start w:val="1"/>
      <w:numFmt w:val="decimal"/>
      <w:pStyle w:val="Odstavecseseznamem"/>
      <w:lvlText w:val="%1.%2."/>
      <w:lvlJc w:val="left"/>
      <w:pPr>
        <w:ind w:left="432" w:hanging="432"/>
      </w:pPr>
      <w:rPr>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1D07344"/>
    <w:multiLevelType w:val="hybridMultilevel"/>
    <w:tmpl w:val="746A8C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269132BA"/>
    <w:multiLevelType w:val="multilevel"/>
    <w:tmpl w:val="419A2C4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nsid w:val="2BF76403"/>
    <w:multiLevelType w:val="multilevel"/>
    <w:tmpl w:val="0D34D660"/>
    <w:numStyleLink w:val="ListBulletmultilevel"/>
  </w:abstractNum>
  <w:abstractNum w:abstractNumId="7">
    <w:nsid w:val="38B64F42"/>
    <w:multiLevelType w:val="multilevel"/>
    <w:tmpl w:val="366660DC"/>
    <w:lvl w:ilvl="0">
      <w:start w:val="1"/>
      <w:numFmt w:val="decimal"/>
      <w:lvlText w:val="%1."/>
      <w:lvlJc w:val="left"/>
      <w:pPr>
        <w:ind w:left="644" w:hanging="360"/>
      </w:pPr>
    </w:lvl>
    <w:lvl w:ilvl="1">
      <w:start w:val="1"/>
      <w:numFmt w:val="decimal"/>
      <w:lvlText w:val="%1.%2."/>
      <w:lvlJc w:val="left"/>
      <w:pPr>
        <w:ind w:left="432" w:hanging="432"/>
      </w:pPr>
      <w:rPr>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18006C3"/>
    <w:multiLevelType w:val="hybridMultilevel"/>
    <w:tmpl w:val="1D1E7D6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nsid w:val="74070991"/>
    <w:multiLevelType w:val="multilevel"/>
    <w:tmpl w:val="CABE99FC"/>
    <w:numStyleLink w:val="ListNumbermultilevel"/>
  </w:abstractNum>
  <w:num w:numId="1">
    <w:abstractNumId w:val="3"/>
  </w:num>
  <w:num w:numId="2">
    <w:abstractNumId w:val="1"/>
  </w:num>
  <w:num w:numId="3">
    <w:abstractNumId w:val="6"/>
  </w:num>
  <w:num w:numId="4">
    <w:abstractNumId w:val="9"/>
  </w:num>
  <w:num w:numId="5">
    <w:abstractNumId w:val="7"/>
  </w:num>
  <w:num w:numId="6">
    <w:abstractNumId w:val="0"/>
  </w:num>
  <w:num w:numId="7">
    <w:abstractNumId w:val="4"/>
  </w:num>
  <w:num w:numId="8">
    <w:abstractNumId w:val="8"/>
  </w:num>
  <w:num w:numId="9">
    <w:abstractNumId w:val="5"/>
  </w:num>
  <w:num w:numId="10">
    <w:abstractNumId w:val="5"/>
  </w:num>
  <w:num w:numId="11">
    <w:abstractNumId w:val="7"/>
    <w:lvlOverride w:ilvl="0">
      <w:startOverride w:val="7"/>
    </w:lvlOverride>
  </w:num>
  <w:num w:numId="12">
    <w:abstractNumId w:val="5"/>
  </w:num>
  <w:num w:numId="13">
    <w:abstractNumId w:val="2"/>
  </w:num>
  <w:num w:numId="14">
    <w:abstractNumId w:val="2"/>
    <w:lvlOverride w:ilvl="0">
      <w:lvl w:ilvl="0">
        <w:start w:val="1"/>
        <w:numFmt w:val="decimal"/>
        <w:pStyle w:val="Nadpis4"/>
        <w:lvlText w:val="%1."/>
        <w:lvlJc w:val="left"/>
        <w:pPr>
          <w:ind w:left="644" w:hanging="360"/>
        </w:pPr>
        <w:rPr>
          <w:rFonts w:hint="default"/>
        </w:rPr>
      </w:lvl>
    </w:lvlOverride>
    <w:lvlOverride w:ilvl="1">
      <w:lvl w:ilvl="1">
        <w:start w:val="1"/>
        <w:numFmt w:val="decimal"/>
        <w:pStyle w:val="Odstavecseseznamem"/>
        <w:lvlText w:val="%1.%2."/>
        <w:lvlJc w:val="left"/>
        <w:pPr>
          <w:ind w:left="716" w:hanging="432"/>
        </w:pPr>
        <w:rPr>
          <w:rFonts w:hint="default"/>
          <w:i w:val="0"/>
          <w:u w:val="none"/>
        </w:rPr>
      </w:lvl>
    </w:lvlOverride>
    <w:lvlOverride w:ilvl="2">
      <w:lvl w:ilvl="2">
        <w:start w:val="1"/>
        <w:numFmt w:val="decimal"/>
        <w:lvlText w:val="%1.%2.%3"/>
        <w:lvlJc w:val="left"/>
        <w:pPr>
          <w:ind w:left="1224" w:hanging="504"/>
        </w:pPr>
        <w:rPr>
          <w:rFonts w:asciiTheme="minorHAnsi" w:eastAsia="Times New Roman" w:hAnsiTheme="minorHAnsi" w:cs="Times New Roman"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
    <w:lvlOverride w:ilvl="0">
      <w:lvl w:ilvl="0">
        <w:start w:val="1"/>
        <w:numFmt w:val="decimal"/>
        <w:pStyle w:val="Nadpis4"/>
        <w:lvlText w:val="%1."/>
        <w:lvlJc w:val="left"/>
        <w:pPr>
          <w:ind w:left="644" w:hanging="360"/>
        </w:pPr>
        <w:rPr>
          <w:rFonts w:hint="default"/>
        </w:rPr>
      </w:lvl>
    </w:lvlOverride>
    <w:lvlOverride w:ilvl="1">
      <w:lvl w:ilvl="1">
        <w:start w:val="1"/>
        <w:numFmt w:val="decimal"/>
        <w:pStyle w:val="Odstavecseseznamem"/>
        <w:lvlText w:val="%1.%2."/>
        <w:lvlJc w:val="left"/>
        <w:pPr>
          <w:ind w:left="432" w:hanging="432"/>
        </w:pPr>
        <w:rPr>
          <w:rFonts w:hint="default"/>
          <w:u w:val="none"/>
        </w:rPr>
      </w:lvl>
    </w:lvlOverride>
    <w:lvlOverride w:ilvl="2">
      <w:lvl w:ilvl="2">
        <w:start w:val="1"/>
        <w:numFmt w:val="decimal"/>
        <w:lvlText w:val="(%3)"/>
        <w:lvlJc w:val="left"/>
        <w:pPr>
          <w:ind w:left="1224" w:hanging="504"/>
        </w:pPr>
        <w:rPr>
          <w:rFonts w:asciiTheme="minorHAnsi" w:eastAsia="Times New Roman" w:hAnsiTheme="minorHAnsi" w:cs="Times New Roman"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
    <w:lvlOverride w:ilvl="0">
      <w:lvl w:ilvl="0">
        <w:start w:val="1"/>
        <w:numFmt w:val="decimal"/>
        <w:pStyle w:val="Nadpis4"/>
        <w:lvlText w:val="%1."/>
        <w:lvlJc w:val="left"/>
        <w:pPr>
          <w:ind w:left="644" w:hanging="360"/>
        </w:pPr>
        <w:rPr>
          <w:rFonts w:hint="default"/>
        </w:rPr>
      </w:lvl>
    </w:lvlOverride>
    <w:lvlOverride w:ilvl="1">
      <w:lvl w:ilvl="1">
        <w:start w:val="1"/>
        <w:numFmt w:val="decimal"/>
        <w:pStyle w:val="Odstavecseseznamem"/>
        <w:lvlText w:val="%1.%2."/>
        <w:lvlJc w:val="left"/>
        <w:pPr>
          <w:ind w:left="432" w:hanging="432"/>
        </w:pPr>
        <w:rPr>
          <w:rFonts w:hint="default"/>
          <w:u w:val="none"/>
        </w:rPr>
      </w:lvl>
    </w:lvlOverride>
    <w:lvlOverride w:ilvl="2">
      <w:lvl w:ilvl="2">
        <w:start w:val="1"/>
        <w:numFmt w:val="decimal"/>
        <w:lvlText w:val="%1.%2.%3"/>
        <w:lvlJc w:val="left"/>
        <w:pPr>
          <w:ind w:left="1224" w:hanging="504"/>
        </w:pPr>
        <w:rPr>
          <w:rFonts w:asciiTheme="minorHAnsi" w:eastAsia="Times New Roman" w:hAnsiTheme="minorHAnsi" w:cs="Times New Roman"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
    <w:lvlOverride w:ilvl="0">
      <w:lvl w:ilvl="0">
        <w:start w:val="1"/>
        <w:numFmt w:val="decimal"/>
        <w:pStyle w:val="Nadpis4"/>
        <w:lvlText w:val="%1."/>
        <w:lvlJc w:val="left"/>
        <w:pPr>
          <w:ind w:left="644" w:hanging="360"/>
        </w:pPr>
        <w:rPr>
          <w:rFonts w:hint="default"/>
        </w:rPr>
      </w:lvl>
    </w:lvlOverride>
    <w:lvlOverride w:ilvl="1">
      <w:lvl w:ilvl="1">
        <w:start w:val="1"/>
        <w:numFmt w:val="decimal"/>
        <w:pStyle w:val="Odstavecseseznamem"/>
        <w:lvlText w:val="%1.%2."/>
        <w:lvlJc w:val="left"/>
        <w:pPr>
          <w:ind w:left="432" w:hanging="432"/>
        </w:pPr>
        <w:rPr>
          <w:rFonts w:hint="default"/>
          <w:u w:val="none"/>
        </w:rPr>
      </w:lvl>
    </w:lvlOverride>
    <w:lvlOverride w:ilvl="2">
      <w:lvl w:ilvl="2">
        <w:start w:val="1"/>
        <w:numFmt w:val="decimal"/>
        <w:lvlText w:val="%1.%2.%3"/>
        <w:lvlJc w:val="left"/>
        <w:pPr>
          <w:ind w:left="1224" w:hanging="504"/>
        </w:pPr>
        <w:rPr>
          <w:rFonts w:asciiTheme="minorHAnsi" w:eastAsia="Times New Roman" w:hAnsiTheme="minorHAnsi" w:cs="Times New Roman"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
  </w:num>
  <w:num w:numId="19">
    <w:abstractNumId w:val="2"/>
  </w:num>
  <w:num w:numId="20">
    <w:abstractNumId w:val="2"/>
  </w:num>
  <w:num w:numId="21">
    <w:abstractNumId w:val="2"/>
  </w:num>
  <w:num w:numId="22">
    <w:abstractNumId w:val="2"/>
    <w:lvlOverride w:ilvl="0">
      <w:lvl w:ilvl="0">
        <w:start w:val="1"/>
        <w:numFmt w:val="decimal"/>
        <w:pStyle w:val="Nadpis4"/>
        <w:lvlText w:val="%1."/>
        <w:lvlJc w:val="left"/>
        <w:pPr>
          <w:ind w:left="644" w:hanging="360"/>
        </w:pPr>
        <w:rPr>
          <w:rFonts w:hint="default"/>
        </w:rPr>
      </w:lvl>
    </w:lvlOverride>
    <w:lvlOverride w:ilvl="1">
      <w:lvl w:ilvl="1">
        <w:start w:val="1"/>
        <w:numFmt w:val="decimal"/>
        <w:pStyle w:val="Odstavecseseznamem"/>
        <w:lvlText w:val="%1.%2."/>
        <w:lvlJc w:val="left"/>
        <w:pPr>
          <w:ind w:left="574" w:hanging="432"/>
        </w:pPr>
        <w:rPr>
          <w:rFonts w:hint="default"/>
          <w:i w:val="0"/>
          <w:u w:val="none"/>
        </w:rPr>
      </w:lvl>
    </w:lvlOverride>
    <w:lvlOverride w:ilvl="2">
      <w:lvl w:ilvl="2">
        <w:start w:val="1"/>
        <w:numFmt w:val="decimal"/>
        <w:lvlText w:val="%1.%2.%3"/>
        <w:lvlJc w:val="left"/>
        <w:pPr>
          <w:ind w:left="1224" w:hanging="504"/>
        </w:pPr>
        <w:rPr>
          <w:rFonts w:asciiTheme="minorHAnsi" w:eastAsia="Times New Roman" w:hAnsiTheme="minorHAnsi" w:cs="Times New Roman"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rdová Nikola, Mgr. Bc.">
    <w15:presenceInfo w15:providerId="AD" w15:userId="S-1-5-21-3656830906-3839017365-80349702-174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4D4F"/>
    <w:rsid w:val="00043C1C"/>
    <w:rsid w:val="00047260"/>
    <w:rsid w:val="00051B13"/>
    <w:rsid w:val="00067F30"/>
    <w:rsid w:val="00071C6D"/>
    <w:rsid w:val="00072C1E"/>
    <w:rsid w:val="0007414E"/>
    <w:rsid w:val="000871AC"/>
    <w:rsid w:val="00097F37"/>
    <w:rsid w:val="000A1BD4"/>
    <w:rsid w:val="000D132C"/>
    <w:rsid w:val="000D2AC9"/>
    <w:rsid w:val="000D3ADE"/>
    <w:rsid w:val="000D525C"/>
    <w:rsid w:val="000E23A7"/>
    <w:rsid w:val="000E2E68"/>
    <w:rsid w:val="000E4032"/>
    <w:rsid w:val="00102F48"/>
    <w:rsid w:val="0010693F"/>
    <w:rsid w:val="00114472"/>
    <w:rsid w:val="00125BEE"/>
    <w:rsid w:val="00142AD6"/>
    <w:rsid w:val="0014565C"/>
    <w:rsid w:val="00145EF6"/>
    <w:rsid w:val="00153B54"/>
    <w:rsid w:val="001550BC"/>
    <w:rsid w:val="001568B3"/>
    <w:rsid w:val="001576EC"/>
    <w:rsid w:val="001605B9"/>
    <w:rsid w:val="001659E9"/>
    <w:rsid w:val="00170EC5"/>
    <w:rsid w:val="001747C1"/>
    <w:rsid w:val="00184743"/>
    <w:rsid w:val="001975F5"/>
    <w:rsid w:val="001B35C8"/>
    <w:rsid w:val="001B7F48"/>
    <w:rsid w:val="001C70C0"/>
    <w:rsid w:val="001D02E3"/>
    <w:rsid w:val="001E66ED"/>
    <w:rsid w:val="001E7681"/>
    <w:rsid w:val="001F0FAC"/>
    <w:rsid w:val="001F460E"/>
    <w:rsid w:val="001F6ECD"/>
    <w:rsid w:val="001F763F"/>
    <w:rsid w:val="00207DF5"/>
    <w:rsid w:val="002326FC"/>
    <w:rsid w:val="00250388"/>
    <w:rsid w:val="00251BFA"/>
    <w:rsid w:val="00252F2B"/>
    <w:rsid w:val="0025503B"/>
    <w:rsid w:val="00280E07"/>
    <w:rsid w:val="00281ADE"/>
    <w:rsid w:val="00286C82"/>
    <w:rsid w:val="00291B07"/>
    <w:rsid w:val="002A7A4F"/>
    <w:rsid w:val="002B0B85"/>
    <w:rsid w:val="002B3E61"/>
    <w:rsid w:val="002B72B2"/>
    <w:rsid w:val="002C31BF"/>
    <w:rsid w:val="002C64D7"/>
    <w:rsid w:val="002D08B1"/>
    <w:rsid w:val="002E0CD7"/>
    <w:rsid w:val="002F120F"/>
    <w:rsid w:val="00302C61"/>
    <w:rsid w:val="00310FF1"/>
    <w:rsid w:val="003262F5"/>
    <w:rsid w:val="0034033F"/>
    <w:rsid w:val="0034081B"/>
    <w:rsid w:val="00341DCF"/>
    <w:rsid w:val="0034498F"/>
    <w:rsid w:val="00357BC6"/>
    <w:rsid w:val="0036101F"/>
    <w:rsid w:val="00362E35"/>
    <w:rsid w:val="003656E8"/>
    <w:rsid w:val="003703A2"/>
    <w:rsid w:val="00382D2B"/>
    <w:rsid w:val="003909C0"/>
    <w:rsid w:val="00390C79"/>
    <w:rsid w:val="00394633"/>
    <w:rsid w:val="003956C6"/>
    <w:rsid w:val="003A24AE"/>
    <w:rsid w:val="003A36C4"/>
    <w:rsid w:val="003C5769"/>
    <w:rsid w:val="003E3751"/>
    <w:rsid w:val="004213F0"/>
    <w:rsid w:val="00425499"/>
    <w:rsid w:val="00431A74"/>
    <w:rsid w:val="00441430"/>
    <w:rsid w:val="004459DB"/>
    <w:rsid w:val="00445CFA"/>
    <w:rsid w:val="00450F07"/>
    <w:rsid w:val="00453CD3"/>
    <w:rsid w:val="00460660"/>
    <w:rsid w:val="00464CC8"/>
    <w:rsid w:val="00467994"/>
    <w:rsid w:val="004803A8"/>
    <w:rsid w:val="00486107"/>
    <w:rsid w:val="00491827"/>
    <w:rsid w:val="00494DCC"/>
    <w:rsid w:val="004B348C"/>
    <w:rsid w:val="004C11F0"/>
    <w:rsid w:val="004C4399"/>
    <w:rsid w:val="004C588C"/>
    <w:rsid w:val="004C787C"/>
    <w:rsid w:val="004D0888"/>
    <w:rsid w:val="004D381F"/>
    <w:rsid w:val="004E143C"/>
    <w:rsid w:val="004E2C7C"/>
    <w:rsid w:val="004E3A53"/>
    <w:rsid w:val="004E7DD8"/>
    <w:rsid w:val="004F0BC3"/>
    <w:rsid w:val="004F4B9B"/>
    <w:rsid w:val="004F5D57"/>
    <w:rsid w:val="00511AB9"/>
    <w:rsid w:val="0051671B"/>
    <w:rsid w:val="00523EA7"/>
    <w:rsid w:val="00546093"/>
    <w:rsid w:val="00553375"/>
    <w:rsid w:val="00567BCB"/>
    <w:rsid w:val="005736B7"/>
    <w:rsid w:val="00575E5A"/>
    <w:rsid w:val="005937EA"/>
    <w:rsid w:val="00595F71"/>
    <w:rsid w:val="005A3662"/>
    <w:rsid w:val="005A4B42"/>
    <w:rsid w:val="005B65D6"/>
    <w:rsid w:val="005D2BBF"/>
    <w:rsid w:val="005E2084"/>
    <w:rsid w:val="005F1404"/>
    <w:rsid w:val="0061068E"/>
    <w:rsid w:val="00615789"/>
    <w:rsid w:val="00622119"/>
    <w:rsid w:val="00624971"/>
    <w:rsid w:val="0063371F"/>
    <w:rsid w:val="006413B7"/>
    <w:rsid w:val="0064368F"/>
    <w:rsid w:val="0064774B"/>
    <w:rsid w:val="00660AD3"/>
    <w:rsid w:val="006777D4"/>
    <w:rsid w:val="00677B7F"/>
    <w:rsid w:val="006823C1"/>
    <w:rsid w:val="006862DF"/>
    <w:rsid w:val="00690239"/>
    <w:rsid w:val="00696698"/>
    <w:rsid w:val="00697749"/>
    <w:rsid w:val="006A1C83"/>
    <w:rsid w:val="006A5570"/>
    <w:rsid w:val="006A689C"/>
    <w:rsid w:val="006B172B"/>
    <w:rsid w:val="006B2D1C"/>
    <w:rsid w:val="006B3D79"/>
    <w:rsid w:val="006D7062"/>
    <w:rsid w:val="006D7AFE"/>
    <w:rsid w:val="006E00D0"/>
    <w:rsid w:val="006E0578"/>
    <w:rsid w:val="006E314D"/>
    <w:rsid w:val="006E5B3C"/>
    <w:rsid w:val="006F73D2"/>
    <w:rsid w:val="00705CC5"/>
    <w:rsid w:val="00710723"/>
    <w:rsid w:val="007126EA"/>
    <w:rsid w:val="00720F9D"/>
    <w:rsid w:val="0072303D"/>
    <w:rsid w:val="00723ED1"/>
    <w:rsid w:val="00743525"/>
    <w:rsid w:val="00745D74"/>
    <w:rsid w:val="00747B4E"/>
    <w:rsid w:val="0076286B"/>
    <w:rsid w:val="00766846"/>
    <w:rsid w:val="0077363D"/>
    <w:rsid w:val="0077673A"/>
    <w:rsid w:val="00777B1B"/>
    <w:rsid w:val="007846E1"/>
    <w:rsid w:val="007A3A05"/>
    <w:rsid w:val="007B54EA"/>
    <w:rsid w:val="007B570C"/>
    <w:rsid w:val="007B5BEC"/>
    <w:rsid w:val="007C589B"/>
    <w:rsid w:val="007E4A6E"/>
    <w:rsid w:val="007F56A7"/>
    <w:rsid w:val="00807DD0"/>
    <w:rsid w:val="00842037"/>
    <w:rsid w:val="00856462"/>
    <w:rsid w:val="00860FB6"/>
    <w:rsid w:val="00864244"/>
    <w:rsid w:val="008659F3"/>
    <w:rsid w:val="008819F6"/>
    <w:rsid w:val="0088639F"/>
    <w:rsid w:val="00886D4B"/>
    <w:rsid w:val="00895406"/>
    <w:rsid w:val="008A22CC"/>
    <w:rsid w:val="008A3568"/>
    <w:rsid w:val="008A368D"/>
    <w:rsid w:val="008A572A"/>
    <w:rsid w:val="008B61D0"/>
    <w:rsid w:val="008C415D"/>
    <w:rsid w:val="008D03B9"/>
    <w:rsid w:val="008D2C9E"/>
    <w:rsid w:val="008D6E27"/>
    <w:rsid w:val="008E62AF"/>
    <w:rsid w:val="008F18D6"/>
    <w:rsid w:val="008F5E52"/>
    <w:rsid w:val="00903DE0"/>
    <w:rsid w:val="00904780"/>
    <w:rsid w:val="009135AA"/>
    <w:rsid w:val="00922385"/>
    <w:rsid w:val="009223DF"/>
    <w:rsid w:val="00936091"/>
    <w:rsid w:val="00940D8A"/>
    <w:rsid w:val="00947492"/>
    <w:rsid w:val="009545B4"/>
    <w:rsid w:val="00962258"/>
    <w:rsid w:val="009678B7"/>
    <w:rsid w:val="009833E1"/>
    <w:rsid w:val="00992D9C"/>
    <w:rsid w:val="00996369"/>
    <w:rsid w:val="00996CB8"/>
    <w:rsid w:val="009B14A9"/>
    <w:rsid w:val="009B2E97"/>
    <w:rsid w:val="009B5F56"/>
    <w:rsid w:val="009C0A64"/>
    <w:rsid w:val="009C2424"/>
    <w:rsid w:val="009D1BA2"/>
    <w:rsid w:val="009D50D4"/>
    <w:rsid w:val="009E07F4"/>
    <w:rsid w:val="009F392E"/>
    <w:rsid w:val="00A037C2"/>
    <w:rsid w:val="00A06158"/>
    <w:rsid w:val="00A1100A"/>
    <w:rsid w:val="00A16B5F"/>
    <w:rsid w:val="00A37B7A"/>
    <w:rsid w:val="00A404A5"/>
    <w:rsid w:val="00A6177B"/>
    <w:rsid w:val="00A66136"/>
    <w:rsid w:val="00A90199"/>
    <w:rsid w:val="00A91226"/>
    <w:rsid w:val="00A9300D"/>
    <w:rsid w:val="00A93896"/>
    <w:rsid w:val="00AA4CBB"/>
    <w:rsid w:val="00AA65FA"/>
    <w:rsid w:val="00AA7351"/>
    <w:rsid w:val="00AB1712"/>
    <w:rsid w:val="00AB49AF"/>
    <w:rsid w:val="00AC3262"/>
    <w:rsid w:val="00AC626F"/>
    <w:rsid w:val="00AD056F"/>
    <w:rsid w:val="00AD6731"/>
    <w:rsid w:val="00AE4D08"/>
    <w:rsid w:val="00AF009D"/>
    <w:rsid w:val="00AF164A"/>
    <w:rsid w:val="00AF7750"/>
    <w:rsid w:val="00B01419"/>
    <w:rsid w:val="00B0592B"/>
    <w:rsid w:val="00B103DB"/>
    <w:rsid w:val="00B14359"/>
    <w:rsid w:val="00B15D0D"/>
    <w:rsid w:val="00B210AC"/>
    <w:rsid w:val="00B57A80"/>
    <w:rsid w:val="00B612C0"/>
    <w:rsid w:val="00B75EE1"/>
    <w:rsid w:val="00B77481"/>
    <w:rsid w:val="00B80D37"/>
    <w:rsid w:val="00B82BAF"/>
    <w:rsid w:val="00B8518B"/>
    <w:rsid w:val="00B91E11"/>
    <w:rsid w:val="00B95ED6"/>
    <w:rsid w:val="00BB6414"/>
    <w:rsid w:val="00BC3B5D"/>
    <w:rsid w:val="00BC4CE4"/>
    <w:rsid w:val="00BC65AE"/>
    <w:rsid w:val="00BD076E"/>
    <w:rsid w:val="00BD554B"/>
    <w:rsid w:val="00BD7E91"/>
    <w:rsid w:val="00BE7D13"/>
    <w:rsid w:val="00C02D0A"/>
    <w:rsid w:val="00C03A6E"/>
    <w:rsid w:val="00C05146"/>
    <w:rsid w:val="00C10E4D"/>
    <w:rsid w:val="00C11C50"/>
    <w:rsid w:val="00C1402E"/>
    <w:rsid w:val="00C24989"/>
    <w:rsid w:val="00C44806"/>
    <w:rsid w:val="00C44F6A"/>
    <w:rsid w:val="00C47AE3"/>
    <w:rsid w:val="00C53CD3"/>
    <w:rsid w:val="00C53FC0"/>
    <w:rsid w:val="00C57A96"/>
    <w:rsid w:val="00C642E7"/>
    <w:rsid w:val="00C70843"/>
    <w:rsid w:val="00C7646D"/>
    <w:rsid w:val="00C8609C"/>
    <w:rsid w:val="00CB2C29"/>
    <w:rsid w:val="00CC2C09"/>
    <w:rsid w:val="00CC6C4D"/>
    <w:rsid w:val="00CD05E9"/>
    <w:rsid w:val="00CD1FC4"/>
    <w:rsid w:val="00CE56F8"/>
    <w:rsid w:val="00CF17BE"/>
    <w:rsid w:val="00D01D49"/>
    <w:rsid w:val="00D060B4"/>
    <w:rsid w:val="00D06DDE"/>
    <w:rsid w:val="00D1417A"/>
    <w:rsid w:val="00D15273"/>
    <w:rsid w:val="00D21061"/>
    <w:rsid w:val="00D2450A"/>
    <w:rsid w:val="00D2688D"/>
    <w:rsid w:val="00D31E61"/>
    <w:rsid w:val="00D4108E"/>
    <w:rsid w:val="00D47C27"/>
    <w:rsid w:val="00D6163D"/>
    <w:rsid w:val="00D73934"/>
    <w:rsid w:val="00D76306"/>
    <w:rsid w:val="00D82F48"/>
    <w:rsid w:val="00D831A3"/>
    <w:rsid w:val="00D86668"/>
    <w:rsid w:val="00D90583"/>
    <w:rsid w:val="00D92FF5"/>
    <w:rsid w:val="00D94B1E"/>
    <w:rsid w:val="00DB2B0F"/>
    <w:rsid w:val="00DB2DC1"/>
    <w:rsid w:val="00DC3026"/>
    <w:rsid w:val="00DC380C"/>
    <w:rsid w:val="00DC52B9"/>
    <w:rsid w:val="00DC75F3"/>
    <w:rsid w:val="00DD46F3"/>
    <w:rsid w:val="00DD477F"/>
    <w:rsid w:val="00DD6B14"/>
    <w:rsid w:val="00DE56F2"/>
    <w:rsid w:val="00DF116D"/>
    <w:rsid w:val="00E40685"/>
    <w:rsid w:val="00E86F16"/>
    <w:rsid w:val="00E90396"/>
    <w:rsid w:val="00E90C16"/>
    <w:rsid w:val="00EA57B9"/>
    <w:rsid w:val="00EA773F"/>
    <w:rsid w:val="00EB104F"/>
    <w:rsid w:val="00EB49E6"/>
    <w:rsid w:val="00EC020A"/>
    <w:rsid w:val="00ED14BD"/>
    <w:rsid w:val="00EE11E4"/>
    <w:rsid w:val="00F0533E"/>
    <w:rsid w:val="00F1048D"/>
    <w:rsid w:val="00F12368"/>
    <w:rsid w:val="00F12C9F"/>
    <w:rsid w:val="00F12DEC"/>
    <w:rsid w:val="00F1715C"/>
    <w:rsid w:val="00F243E2"/>
    <w:rsid w:val="00F310F8"/>
    <w:rsid w:val="00F34B3C"/>
    <w:rsid w:val="00F35939"/>
    <w:rsid w:val="00F45607"/>
    <w:rsid w:val="00F5070F"/>
    <w:rsid w:val="00F61DE3"/>
    <w:rsid w:val="00F659EB"/>
    <w:rsid w:val="00F668BA"/>
    <w:rsid w:val="00F86BA6"/>
    <w:rsid w:val="00F95EC3"/>
    <w:rsid w:val="00FA557A"/>
    <w:rsid w:val="00FB018F"/>
    <w:rsid w:val="00FB4569"/>
    <w:rsid w:val="00FC6389"/>
    <w:rsid w:val="00FD6B24"/>
    <w:rsid w:val="00FD7F1B"/>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7A96"/>
    <w:pPr>
      <w:keepNext/>
      <w:keepLines/>
      <w:numPr>
        <w:numId w:val="13"/>
      </w:numPr>
      <w:spacing w:before="240"/>
      <w:outlineLvl w:val="3"/>
    </w:pPr>
    <w:rPr>
      <w:rFonts w:asciiTheme="majorHAnsi" w:eastAsiaTheme="majorEastAsia" w:hAnsiTheme="majorHAnsi" w:cstheme="majorBidi"/>
      <w:b/>
      <w:iCs/>
      <w:noProof/>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7A96"/>
    <w:rPr>
      <w:rFonts w:asciiTheme="majorHAnsi" w:eastAsiaTheme="majorEastAsia" w:hAnsiTheme="majorHAnsi" w:cstheme="majorBidi"/>
      <w:b/>
      <w:iCs/>
      <w:noProof/>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431A74"/>
    <w:pPr>
      <w:numPr>
        <w:ilvl w:val="1"/>
        <w:numId w:val="14"/>
      </w:numPr>
      <w:spacing w:after="120" w:line="276" w:lineRule="auto"/>
      <w:ind w:left="709" w:hanging="567"/>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31A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7A96"/>
    <w:pPr>
      <w:keepNext/>
      <w:keepLines/>
      <w:numPr>
        <w:numId w:val="13"/>
      </w:numPr>
      <w:spacing w:before="240"/>
      <w:outlineLvl w:val="3"/>
    </w:pPr>
    <w:rPr>
      <w:rFonts w:asciiTheme="majorHAnsi" w:eastAsiaTheme="majorEastAsia" w:hAnsiTheme="majorHAnsi" w:cstheme="majorBidi"/>
      <w:b/>
      <w:iCs/>
      <w:noProof/>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7A96"/>
    <w:rPr>
      <w:rFonts w:asciiTheme="majorHAnsi" w:eastAsiaTheme="majorEastAsia" w:hAnsiTheme="majorHAnsi" w:cstheme="majorBidi"/>
      <w:b/>
      <w:iCs/>
      <w:noProof/>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431A74"/>
    <w:pPr>
      <w:numPr>
        <w:ilvl w:val="1"/>
        <w:numId w:val="14"/>
      </w:numPr>
      <w:spacing w:after="120" w:line="276" w:lineRule="auto"/>
      <w:ind w:left="709" w:hanging="567"/>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31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3DA60536-40BF-402A-BDA7-7113D934D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A45F486E-A519-49D8-9AEE-9A28007D2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1614</Words>
  <Characters>9525</Characters>
  <Application>Microsoft Office Word</Application>
  <DocSecurity>0</DocSecurity>
  <Lines>79</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6</cp:revision>
  <cp:lastPrinted>2020-05-07T11:14:00Z</cp:lastPrinted>
  <dcterms:created xsi:type="dcterms:W3CDTF">2020-05-20T11:55:00Z</dcterms:created>
  <dcterms:modified xsi:type="dcterms:W3CDTF">2020-06-01T13:58:00Z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